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hint="eastAsia" w:ascii="Calibri" w:hAnsi="Calibri" w:eastAsia="宋体" w:cs="Times New Roman"/>
          <w:sz w:val="24"/>
          <w:lang w:eastAsia="zh-CN"/>
        </w:rPr>
      </w:pPr>
    </w:p>
    <w:p>
      <w:pPr>
        <w:rPr>
          <w:rFonts w:hint="eastAsia" w:ascii="Calibri" w:hAnsi="Calibri" w:eastAsia="宋体" w:cs="Times New Roman"/>
          <w:sz w:val="24"/>
          <w:lang w:eastAsia="zh-CN"/>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1316990</wp:posOffset>
                </wp:positionH>
                <wp:positionV relativeFrom="paragraph">
                  <wp:posOffset>179705</wp:posOffset>
                </wp:positionV>
                <wp:extent cx="3168650" cy="1040765"/>
                <wp:effectExtent l="0" t="0" r="0" b="0"/>
                <wp:wrapNone/>
                <wp:docPr id="4" name="文本框 4"/>
                <wp:cNvGraphicFramePr/>
                <a:graphic xmlns:a="http://schemas.openxmlformats.org/drawingml/2006/main">
                  <a:graphicData uri="http://schemas.microsoft.com/office/word/2010/wordprocessingShape">
                    <wps:wsp>
                      <wps:cNvSpPr txBox="1"/>
                      <wps:spPr>
                        <a:xfrm>
                          <a:off x="2506980" y="5293995"/>
                          <a:ext cx="3168650" cy="1040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numPr>
                                <w:ilvl w:val="0"/>
                                <w:numId w:val="0"/>
                              </w:numPr>
                              <w:ind w:leftChars="0"/>
                              <w:jc w:val="center"/>
                              <w:rPr>
                                <w:rFonts w:hint="eastAsia" w:ascii="楷体" w:hAnsi="楷体" w:eastAsia="楷体" w:cs="楷体"/>
                                <w:sz w:val="32"/>
                                <w:szCs w:val="36"/>
                              </w:rPr>
                            </w:pPr>
                            <w:r>
                              <w:rPr>
                                <w:rFonts w:hint="eastAsia" w:ascii="楷体" w:hAnsi="楷体" w:eastAsia="楷体" w:cs="楷体"/>
                                <w:b/>
                                <w:sz w:val="72"/>
                                <w:szCs w:val="72"/>
                                <w:lang w:val="en-US" w:eastAsia="zh-CN"/>
                              </w:rPr>
                              <w:t>人才培养方案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7pt;margin-top:14.15pt;height:81.95pt;width:249.5pt;z-index:251659264;mso-width-relative:page;mso-height-relative:page;" filled="f" stroked="f" coordsize="21600,21600" o:gfxdata="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b/27fZAAAACgEAAA8AAAAAAAAA&#10;AQAgAAAAIgAAAGRycy9kb3ducmV2LnhtbFBLAQIUABQAAAAIAIdO4kCh/VsISQIAAHMEAAAOAAAA&#10;AAAAAAEAIAAAACgBAABkcnMvZTJvRG9jLnhtbFBLBQYAAAAABgAGAFkBAADjBQAAAAA=&#10;">
                <v:fill on="f" focussize="0,0"/>
                <v:stroke on="f" weight="0.5pt"/>
                <v:imagedata o:title=""/>
                <o:lock v:ext="edit" aspectratio="f"/>
                <v:textbox>
                  <w:txbxContent>
                    <w:p>
                      <w:pPr>
                        <w:pStyle w:val="52"/>
                        <w:numPr>
                          <w:ilvl w:val="0"/>
                          <w:numId w:val="0"/>
                        </w:numPr>
                        <w:ind w:leftChars="0"/>
                        <w:jc w:val="center"/>
                        <w:rPr>
                          <w:rFonts w:hint="eastAsia" w:ascii="楷体" w:hAnsi="楷体" w:eastAsia="楷体" w:cs="楷体"/>
                          <w:sz w:val="32"/>
                          <w:szCs w:val="36"/>
                        </w:rPr>
                      </w:pPr>
                      <w:r>
                        <w:rPr>
                          <w:rFonts w:hint="eastAsia" w:ascii="楷体" w:hAnsi="楷体" w:eastAsia="楷体" w:cs="楷体"/>
                          <w:b/>
                          <w:sz w:val="72"/>
                          <w:szCs w:val="72"/>
                          <w:lang w:val="en-US" w:eastAsia="zh-CN"/>
                        </w:rPr>
                        <w:t>人才培养方案</w:t>
                      </w:r>
                    </w:p>
                  </w:txbxContent>
                </v:textbox>
              </v:shape>
            </w:pict>
          </mc:Fallback>
        </mc:AlternateContent>
      </w: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bookmarkStart w:id="196" w:name="_GoBack"/>
      <w:bookmarkEnd w:id="196"/>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jc w:val="both"/>
        <w:rPr>
          <w:rFonts w:ascii="Calibri" w:hAnsi="Calibri" w:eastAsia="宋体" w:cs="Times New Roman"/>
          <w:sz w:val="24"/>
        </w:rPr>
      </w:pPr>
    </w:p>
    <w:sdt>
      <w:sdtPr>
        <w:rPr>
          <w:rFonts w:ascii="仿宋_GB2312" w:eastAsia="仿宋_GB2312"/>
          <w:sz w:val="28"/>
          <w:szCs w:val="28"/>
          <w:lang w:val="zh-CN"/>
        </w:rPr>
        <w:id w:val="-1652981792"/>
        <w:docPartObj>
          <w:docPartGallery w:val="Table of Contents"/>
          <w:docPartUnique/>
        </w:docPartObj>
      </w:sdtPr>
      <w:sdtEndPr>
        <w:rPr>
          <w:rFonts w:asciiTheme="minorEastAsia" w:hAnsiTheme="minorEastAsia" w:eastAsiaTheme="minorEastAsia"/>
          <w:sz w:val="24"/>
          <w:szCs w:val="24"/>
          <w:lang w:val="zh-CN"/>
        </w:rPr>
      </w:sdtEndPr>
      <w:sdtContent>
        <w:p>
          <w:pPr>
            <w:spacing w:before="190" w:beforeLines="50" w:after="190" w:afterLines="50" w:line="400" w:lineRule="exact"/>
            <w:jc w:val="center"/>
            <w:rPr>
              <w:rFonts w:ascii="黑体" w:hAnsi="黑体" w:eastAsia="黑体"/>
              <w:b/>
              <w:sz w:val="36"/>
              <w:szCs w:val="28"/>
            </w:rPr>
          </w:pPr>
          <w:r>
            <w:rPr>
              <w:rFonts w:ascii="黑体" w:hAnsi="黑体" w:eastAsia="黑体"/>
              <w:b/>
              <w:sz w:val="36"/>
              <w:szCs w:val="28"/>
              <w:lang w:val="zh-CN"/>
            </w:rPr>
            <w:t>目</w:t>
          </w:r>
          <w:r>
            <w:rPr>
              <w:rFonts w:hint="eastAsia" w:ascii="黑体" w:hAnsi="黑体" w:eastAsia="黑体"/>
              <w:b/>
              <w:sz w:val="36"/>
              <w:szCs w:val="28"/>
              <w:lang w:val="zh-CN"/>
            </w:rPr>
            <w:t xml:space="preserve"> </w:t>
          </w:r>
          <w:r>
            <w:rPr>
              <w:rFonts w:ascii="黑体" w:hAnsi="黑体" w:eastAsia="黑体"/>
              <w:b/>
              <w:sz w:val="36"/>
              <w:szCs w:val="28"/>
              <w:lang w:val="zh-CN"/>
            </w:rPr>
            <w:t>录</w:t>
          </w:r>
        </w:p>
        <w:p>
          <w:pPr>
            <w:tabs>
              <w:tab w:val="right" w:leader="dot" w:pos="9174"/>
            </w:tabs>
            <w:spacing w:before="120" w:after="120" w:line="400" w:lineRule="exact"/>
            <w:jc w:val="left"/>
            <w:rPr>
              <w:rFonts w:asciiTheme="minorEastAsia" w:hAnsiTheme="minorEastAsia"/>
              <w:sz w:val="24"/>
              <w:szCs w:val="24"/>
            </w:rPr>
          </w:pPr>
          <w:r>
            <w:rPr>
              <w:rFonts w:asciiTheme="minorEastAsia" w:hAnsiTheme="minorEastAsia" w:cstheme="minorHAnsi"/>
              <w:b/>
              <w:bCs/>
              <w:caps/>
              <w:sz w:val="24"/>
              <w:szCs w:val="24"/>
            </w:rPr>
            <w:fldChar w:fldCharType="begin"/>
          </w:r>
          <w:r>
            <w:rPr>
              <w:rFonts w:asciiTheme="minorEastAsia" w:hAnsiTheme="minorEastAsia" w:cstheme="minorHAnsi"/>
              <w:b/>
              <w:bCs/>
              <w:caps/>
              <w:sz w:val="24"/>
              <w:szCs w:val="24"/>
            </w:rPr>
            <w:instrText xml:space="preserve"> TOC \o "1-2" \h \z \u </w:instrText>
          </w:r>
          <w:r>
            <w:rPr>
              <w:rFonts w:asciiTheme="minorEastAsia" w:hAnsiTheme="minorEastAsia" w:cstheme="minorHAnsi"/>
              <w:b/>
              <w:bCs/>
              <w:caps/>
              <w:sz w:val="24"/>
              <w:szCs w:val="24"/>
            </w:rPr>
            <w:fldChar w:fldCharType="separate"/>
          </w:r>
          <w:r>
            <w:fldChar w:fldCharType="begin"/>
          </w:r>
          <w:r>
            <w:instrText xml:space="preserve"> HYPERLINK \l "_Toc89266098" </w:instrText>
          </w:r>
          <w:r>
            <w:fldChar w:fldCharType="separate"/>
          </w:r>
          <w:r>
            <w:rPr>
              <w:rFonts w:asciiTheme="minorEastAsia" w:hAnsiTheme="minorEastAsia"/>
              <w:b/>
              <w:bCs/>
              <w:caps/>
              <w:sz w:val="24"/>
              <w:szCs w:val="24"/>
            </w:rPr>
            <w:t>序  言</w:t>
          </w:r>
          <w:r>
            <w:rPr>
              <w:rFonts w:asciiTheme="minorEastAsia" w:hAnsiTheme="minorEastAsia"/>
              <w:b/>
              <w:bCs/>
              <w:caps/>
              <w:sz w:val="24"/>
              <w:szCs w:val="24"/>
            </w:rPr>
            <w:tab/>
          </w:r>
          <w:r>
            <w:rPr>
              <w:rFonts w:asciiTheme="minorEastAsia" w:hAnsiTheme="minorEastAsia"/>
              <w:b/>
              <w:bCs/>
              <w:caps/>
              <w:sz w:val="24"/>
              <w:szCs w:val="24"/>
            </w:rPr>
            <w:fldChar w:fldCharType="begin"/>
          </w:r>
          <w:r>
            <w:rPr>
              <w:rFonts w:asciiTheme="minorEastAsia" w:hAnsiTheme="minorEastAsia"/>
              <w:b/>
              <w:bCs/>
              <w:caps/>
              <w:sz w:val="24"/>
              <w:szCs w:val="24"/>
            </w:rPr>
            <w:instrText xml:space="preserve"> PAGEREF _Toc89266098 \h </w:instrText>
          </w:r>
          <w:r>
            <w:rPr>
              <w:rFonts w:asciiTheme="minorEastAsia" w:hAnsiTheme="minorEastAsia"/>
              <w:b/>
              <w:bCs/>
              <w:caps/>
              <w:sz w:val="24"/>
              <w:szCs w:val="24"/>
            </w:rPr>
            <w:fldChar w:fldCharType="separate"/>
          </w:r>
          <w:r>
            <w:rPr>
              <w:rFonts w:asciiTheme="minorEastAsia" w:hAnsiTheme="minorEastAsia"/>
              <w:b/>
              <w:bCs/>
              <w:caps/>
              <w:sz w:val="24"/>
              <w:szCs w:val="24"/>
            </w:rPr>
            <w:t>1</w:t>
          </w:r>
          <w:r>
            <w:rPr>
              <w:rFonts w:asciiTheme="minorEastAsia" w:hAnsiTheme="minorEastAsia"/>
              <w:b/>
              <w:bCs/>
              <w:caps/>
              <w:sz w:val="24"/>
              <w:szCs w:val="24"/>
            </w:rPr>
            <w:fldChar w:fldCharType="end"/>
          </w:r>
          <w:r>
            <w:rPr>
              <w:rFonts w:asciiTheme="minorEastAsia" w:hAnsiTheme="minorEastAsia"/>
              <w:b/>
              <w:bCs/>
              <w:caps/>
              <w:sz w:val="24"/>
              <w:szCs w:val="24"/>
            </w:rPr>
            <w:fldChar w:fldCharType="end"/>
          </w:r>
        </w:p>
        <w:p>
          <w:pPr>
            <w:tabs>
              <w:tab w:val="right" w:leader="dot" w:pos="9174"/>
            </w:tabs>
            <w:spacing w:before="120" w:after="120" w:line="400" w:lineRule="exact"/>
            <w:jc w:val="left"/>
            <w:rPr>
              <w:rFonts w:asciiTheme="minorEastAsia" w:hAnsiTheme="minorEastAsia"/>
              <w:sz w:val="24"/>
              <w:szCs w:val="24"/>
            </w:rPr>
          </w:pPr>
          <w:r>
            <w:fldChar w:fldCharType="begin"/>
          </w:r>
          <w:r>
            <w:instrText xml:space="preserve"> HYPERLINK \l "_Toc89266099" </w:instrText>
          </w:r>
          <w:r>
            <w:fldChar w:fldCharType="separate"/>
          </w:r>
          <w:r>
            <w:rPr>
              <w:rFonts w:asciiTheme="minorEastAsia" w:hAnsiTheme="minorEastAsia"/>
              <w:b/>
              <w:bCs/>
              <w:caps/>
              <w:sz w:val="24"/>
              <w:szCs w:val="24"/>
            </w:rPr>
            <w:t>一、专业名称及代码</w:t>
          </w:r>
          <w:r>
            <w:rPr>
              <w:rFonts w:asciiTheme="minorEastAsia" w:hAnsiTheme="minorEastAsia"/>
              <w:b/>
              <w:bCs/>
              <w:caps/>
              <w:sz w:val="24"/>
              <w:szCs w:val="24"/>
            </w:rPr>
            <w:tab/>
          </w:r>
          <w:r>
            <w:rPr>
              <w:rFonts w:asciiTheme="minorEastAsia" w:hAnsiTheme="minorEastAsia"/>
              <w:b/>
              <w:bCs/>
              <w:caps/>
              <w:sz w:val="24"/>
              <w:szCs w:val="24"/>
            </w:rPr>
            <w:fldChar w:fldCharType="begin"/>
          </w:r>
          <w:r>
            <w:rPr>
              <w:rFonts w:asciiTheme="minorEastAsia" w:hAnsiTheme="minorEastAsia"/>
              <w:b/>
              <w:bCs/>
              <w:caps/>
              <w:sz w:val="24"/>
              <w:szCs w:val="24"/>
            </w:rPr>
            <w:instrText xml:space="preserve"> PAGEREF _Toc89266099 \h </w:instrText>
          </w:r>
          <w:r>
            <w:rPr>
              <w:rFonts w:asciiTheme="minorEastAsia" w:hAnsiTheme="minorEastAsia"/>
              <w:b/>
              <w:bCs/>
              <w:caps/>
              <w:sz w:val="24"/>
              <w:szCs w:val="24"/>
            </w:rPr>
            <w:fldChar w:fldCharType="separate"/>
          </w:r>
          <w:r>
            <w:rPr>
              <w:rFonts w:asciiTheme="minorEastAsia" w:hAnsiTheme="minorEastAsia"/>
              <w:b/>
              <w:bCs/>
              <w:caps/>
              <w:sz w:val="24"/>
              <w:szCs w:val="24"/>
            </w:rPr>
            <w:t>3</w:t>
          </w:r>
          <w:r>
            <w:rPr>
              <w:rFonts w:asciiTheme="minorEastAsia" w:hAnsiTheme="minorEastAsia"/>
              <w:b/>
              <w:bCs/>
              <w:caps/>
              <w:sz w:val="24"/>
              <w:szCs w:val="24"/>
            </w:rPr>
            <w:fldChar w:fldCharType="end"/>
          </w:r>
          <w:r>
            <w:rPr>
              <w:rFonts w:asciiTheme="minorEastAsia" w:hAnsiTheme="minorEastAsia"/>
              <w:b/>
              <w:bCs/>
              <w:caps/>
              <w:sz w:val="24"/>
              <w:szCs w:val="24"/>
            </w:rPr>
            <w:fldChar w:fldCharType="end"/>
          </w:r>
        </w:p>
        <w:p>
          <w:pPr>
            <w:tabs>
              <w:tab w:val="right" w:leader="dot" w:pos="9174"/>
            </w:tabs>
            <w:spacing w:before="120" w:after="120" w:line="400" w:lineRule="exact"/>
            <w:jc w:val="left"/>
            <w:rPr>
              <w:rFonts w:asciiTheme="minorEastAsia" w:hAnsiTheme="minorEastAsia"/>
              <w:sz w:val="24"/>
              <w:szCs w:val="24"/>
            </w:rPr>
          </w:pPr>
          <w:r>
            <w:fldChar w:fldCharType="begin"/>
          </w:r>
          <w:r>
            <w:instrText xml:space="preserve"> HYPERLINK \l "_Toc89266100" </w:instrText>
          </w:r>
          <w:r>
            <w:fldChar w:fldCharType="separate"/>
          </w:r>
          <w:r>
            <w:rPr>
              <w:rFonts w:asciiTheme="minorEastAsia" w:hAnsiTheme="minorEastAsia"/>
              <w:b/>
              <w:bCs/>
              <w:caps/>
              <w:sz w:val="24"/>
              <w:szCs w:val="24"/>
            </w:rPr>
            <w:t>二、入学要求</w:t>
          </w:r>
          <w:r>
            <w:rPr>
              <w:rFonts w:asciiTheme="minorEastAsia" w:hAnsiTheme="minorEastAsia"/>
              <w:b/>
              <w:bCs/>
              <w:caps/>
              <w:sz w:val="24"/>
              <w:szCs w:val="24"/>
            </w:rPr>
            <w:tab/>
          </w:r>
          <w:r>
            <w:rPr>
              <w:rFonts w:asciiTheme="minorEastAsia" w:hAnsiTheme="minorEastAsia"/>
              <w:b/>
              <w:bCs/>
              <w:caps/>
              <w:sz w:val="24"/>
              <w:szCs w:val="24"/>
            </w:rPr>
            <w:fldChar w:fldCharType="begin"/>
          </w:r>
          <w:r>
            <w:rPr>
              <w:rFonts w:asciiTheme="minorEastAsia" w:hAnsiTheme="minorEastAsia"/>
              <w:b/>
              <w:bCs/>
              <w:caps/>
              <w:sz w:val="24"/>
              <w:szCs w:val="24"/>
            </w:rPr>
            <w:instrText xml:space="preserve"> PAGEREF _Toc89266100 \h </w:instrText>
          </w:r>
          <w:r>
            <w:rPr>
              <w:rFonts w:asciiTheme="minorEastAsia" w:hAnsiTheme="minorEastAsia"/>
              <w:b/>
              <w:bCs/>
              <w:caps/>
              <w:sz w:val="24"/>
              <w:szCs w:val="24"/>
            </w:rPr>
            <w:fldChar w:fldCharType="separate"/>
          </w:r>
          <w:r>
            <w:rPr>
              <w:rFonts w:asciiTheme="minorEastAsia" w:hAnsiTheme="minorEastAsia"/>
              <w:b/>
              <w:bCs/>
              <w:caps/>
              <w:sz w:val="24"/>
              <w:szCs w:val="24"/>
            </w:rPr>
            <w:t>3</w:t>
          </w:r>
          <w:r>
            <w:rPr>
              <w:rFonts w:asciiTheme="minorEastAsia" w:hAnsiTheme="minorEastAsia"/>
              <w:b/>
              <w:bCs/>
              <w:caps/>
              <w:sz w:val="24"/>
              <w:szCs w:val="24"/>
            </w:rPr>
            <w:fldChar w:fldCharType="end"/>
          </w:r>
          <w:r>
            <w:rPr>
              <w:rFonts w:asciiTheme="minorEastAsia" w:hAnsiTheme="minorEastAsia"/>
              <w:b/>
              <w:bCs/>
              <w:caps/>
              <w:sz w:val="24"/>
              <w:szCs w:val="24"/>
            </w:rPr>
            <w:fldChar w:fldCharType="end"/>
          </w:r>
        </w:p>
        <w:p>
          <w:pPr>
            <w:tabs>
              <w:tab w:val="right" w:leader="dot" w:pos="9174"/>
            </w:tabs>
            <w:spacing w:before="120" w:after="120" w:line="400" w:lineRule="exact"/>
            <w:jc w:val="left"/>
            <w:rPr>
              <w:rFonts w:asciiTheme="minorEastAsia" w:hAnsiTheme="minorEastAsia"/>
              <w:sz w:val="24"/>
              <w:szCs w:val="24"/>
            </w:rPr>
          </w:pPr>
          <w:r>
            <w:fldChar w:fldCharType="begin"/>
          </w:r>
          <w:r>
            <w:instrText xml:space="preserve"> HYPERLINK \l "_Toc89266101" </w:instrText>
          </w:r>
          <w:r>
            <w:fldChar w:fldCharType="separate"/>
          </w:r>
          <w:r>
            <w:rPr>
              <w:rFonts w:asciiTheme="minorEastAsia" w:hAnsiTheme="minorEastAsia"/>
              <w:b/>
              <w:bCs/>
              <w:caps/>
              <w:sz w:val="24"/>
              <w:szCs w:val="24"/>
            </w:rPr>
            <w:t>三、修业年限</w:t>
          </w:r>
          <w:r>
            <w:rPr>
              <w:rFonts w:asciiTheme="minorEastAsia" w:hAnsiTheme="minorEastAsia"/>
              <w:b/>
              <w:bCs/>
              <w:caps/>
              <w:sz w:val="24"/>
              <w:szCs w:val="24"/>
            </w:rPr>
            <w:tab/>
          </w:r>
          <w:r>
            <w:rPr>
              <w:rFonts w:asciiTheme="minorEastAsia" w:hAnsiTheme="minorEastAsia"/>
              <w:b/>
              <w:bCs/>
              <w:caps/>
              <w:sz w:val="24"/>
              <w:szCs w:val="24"/>
            </w:rPr>
            <w:fldChar w:fldCharType="begin"/>
          </w:r>
          <w:r>
            <w:rPr>
              <w:rFonts w:asciiTheme="minorEastAsia" w:hAnsiTheme="minorEastAsia"/>
              <w:b/>
              <w:bCs/>
              <w:caps/>
              <w:sz w:val="24"/>
              <w:szCs w:val="24"/>
            </w:rPr>
            <w:instrText xml:space="preserve"> PAGEREF _Toc89266101 \h </w:instrText>
          </w:r>
          <w:r>
            <w:rPr>
              <w:rFonts w:asciiTheme="minorEastAsia" w:hAnsiTheme="minorEastAsia"/>
              <w:b/>
              <w:bCs/>
              <w:caps/>
              <w:sz w:val="24"/>
              <w:szCs w:val="24"/>
            </w:rPr>
            <w:fldChar w:fldCharType="separate"/>
          </w:r>
          <w:r>
            <w:rPr>
              <w:rFonts w:asciiTheme="minorEastAsia" w:hAnsiTheme="minorEastAsia"/>
              <w:b/>
              <w:bCs/>
              <w:caps/>
              <w:sz w:val="24"/>
              <w:szCs w:val="24"/>
            </w:rPr>
            <w:t>3</w:t>
          </w:r>
          <w:r>
            <w:rPr>
              <w:rFonts w:asciiTheme="minorEastAsia" w:hAnsiTheme="minorEastAsia"/>
              <w:b/>
              <w:bCs/>
              <w:caps/>
              <w:sz w:val="24"/>
              <w:szCs w:val="24"/>
            </w:rPr>
            <w:fldChar w:fldCharType="end"/>
          </w:r>
          <w:r>
            <w:rPr>
              <w:rFonts w:asciiTheme="minorEastAsia" w:hAnsiTheme="minorEastAsia"/>
              <w:b/>
              <w:bCs/>
              <w:caps/>
              <w:sz w:val="24"/>
              <w:szCs w:val="24"/>
            </w:rPr>
            <w:fldChar w:fldCharType="end"/>
          </w:r>
        </w:p>
        <w:p>
          <w:pPr>
            <w:tabs>
              <w:tab w:val="right" w:leader="dot" w:pos="9174"/>
            </w:tabs>
            <w:spacing w:before="120" w:after="120" w:line="400" w:lineRule="exact"/>
            <w:jc w:val="left"/>
            <w:rPr>
              <w:rFonts w:asciiTheme="minorEastAsia" w:hAnsiTheme="minorEastAsia"/>
              <w:sz w:val="24"/>
              <w:szCs w:val="24"/>
            </w:rPr>
          </w:pPr>
          <w:r>
            <w:fldChar w:fldCharType="begin"/>
          </w:r>
          <w:r>
            <w:instrText xml:space="preserve"> HYPERLINK \l "_Toc89266102" </w:instrText>
          </w:r>
          <w:r>
            <w:fldChar w:fldCharType="separate"/>
          </w:r>
          <w:r>
            <w:rPr>
              <w:rFonts w:asciiTheme="minorEastAsia" w:hAnsiTheme="minorEastAsia"/>
              <w:b/>
              <w:bCs/>
              <w:caps/>
              <w:sz w:val="24"/>
              <w:szCs w:val="24"/>
            </w:rPr>
            <w:t>四、职业面向</w:t>
          </w:r>
          <w:r>
            <w:rPr>
              <w:rFonts w:asciiTheme="minorEastAsia" w:hAnsiTheme="minorEastAsia"/>
              <w:b/>
              <w:bCs/>
              <w:caps/>
              <w:sz w:val="24"/>
              <w:szCs w:val="24"/>
            </w:rPr>
            <w:tab/>
          </w:r>
          <w:r>
            <w:rPr>
              <w:rFonts w:asciiTheme="minorEastAsia" w:hAnsiTheme="minorEastAsia"/>
              <w:b/>
              <w:bCs/>
              <w:caps/>
              <w:sz w:val="24"/>
              <w:szCs w:val="24"/>
            </w:rPr>
            <w:fldChar w:fldCharType="begin"/>
          </w:r>
          <w:r>
            <w:rPr>
              <w:rFonts w:asciiTheme="minorEastAsia" w:hAnsiTheme="minorEastAsia"/>
              <w:b/>
              <w:bCs/>
              <w:caps/>
              <w:sz w:val="24"/>
              <w:szCs w:val="24"/>
            </w:rPr>
            <w:instrText xml:space="preserve"> PAGEREF _Toc89266102 \h </w:instrText>
          </w:r>
          <w:r>
            <w:rPr>
              <w:rFonts w:asciiTheme="minorEastAsia" w:hAnsiTheme="minorEastAsia"/>
              <w:b/>
              <w:bCs/>
              <w:caps/>
              <w:sz w:val="24"/>
              <w:szCs w:val="24"/>
            </w:rPr>
            <w:fldChar w:fldCharType="separate"/>
          </w:r>
          <w:r>
            <w:rPr>
              <w:rFonts w:asciiTheme="minorEastAsia" w:hAnsiTheme="minorEastAsia"/>
              <w:b/>
              <w:bCs/>
              <w:caps/>
              <w:sz w:val="24"/>
              <w:szCs w:val="24"/>
            </w:rPr>
            <w:t>3</w:t>
          </w:r>
          <w:r>
            <w:rPr>
              <w:rFonts w:asciiTheme="minorEastAsia" w:hAnsiTheme="minorEastAsia"/>
              <w:b/>
              <w:bCs/>
              <w:caps/>
              <w:sz w:val="24"/>
              <w:szCs w:val="24"/>
            </w:rPr>
            <w:fldChar w:fldCharType="end"/>
          </w:r>
          <w:r>
            <w:rPr>
              <w:rFonts w:asciiTheme="minorEastAsia" w:hAnsiTheme="minorEastAsia"/>
              <w:b/>
              <w:bCs/>
              <w:caps/>
              <w:sz w:val="24"/>
              <w:szCs w:val="24"/>
            </w:rPr>
            <w:fldChar w:fldCharType="end"/>
          </w:r>
        </w:p>
        <w:p>
          <w:pPr>
            <w:tabs>
              <w:tab w:val="right" w:leader="dot" w:pos="9174"/>
            </w:tabs>
            <w:spacing w:before="120" w:after="120" w:line="400" w:lineRule="exact"/>
            <w:jc w:val="left"/>
            <w:rPr>
              <w:rFonts w:asciiTheme="minorEastAsia" w:hAnsiTheme="minorEastAsia"/>
              <w:sz w:val="24"/>
              <w:szCs w:val="24"/>
            </w:rPr>
          </w:pPr>
          <w:r>
            <w:fldChar w:fldCharType="begin"/>
          </w:r>
          <w:r>
            <w:instrText xml:space="preserve"> HYPERLINK \l "_Toc89266103" </w:instrText>
          </w:r>
          <w:r>
            <w:fldChar w:fldCharType="separate"/>
          </w:r>
          <w:r>
            <w:rPr>
              <w:rFonts w:asciiTheme="minorEastAsia" w:hAnsiTheme="minorEastAsia"/>
              <w:b/>
              <w:bCs/>
              <w:caps/>
              <w:sz w:val="24"/>
              <w:szCs w:val="24"/>
            </w:rPr>
            <w:t>五、培养目标与培养规格</w:t>
          </w:r>
          <w:r>
            <w:rPr>
              <w:rFonts w:asciiTheme="minorEastAsia" w:hAnsiTheme="minorEastAsia"/>
              <w:b/>
              <w:bCs/>
              <w:caps/>
              <w:sz w:val="24"/>
              <w:szCs w:val="24"/>
            </w:rPr>
            <w:tab/>
          </w:r>
          <w:r>
            <w:rPr>
              <w:rFonts w:asciiTheme="minorEastAsia" w:hAnsiTheme="minorEastAsia"/>
              <w:b/>
              <w:bCs/>
              <w:caps/>
              <w:sz w:val="24"/>
              <w:szCs w:val="24"/>
            </w:rPr>
            <w:fldChar w:fldCharType="begin"/>
          </w:r>
          <w:r>
            <w:rPr>
              <w:rFonts w:asciiTheme="minorEastAsia" w:hAnsiTheme="minorEastAsia"/>
              <w:b/>
              <w:bCs/>
              <w:caps/>
              <w:sz w:val="24"/>
              <w:szCs w:val="24"/>
            </w:rPr>
            <w:instrText xml:space="preserve"> PAGEREF _Toc89266103 \h </w:instrText>
          </w:r>
          <w:r>
            <w:rPr>
              <w:rFonts w:asciiTheme="minorEastAsia" w:hAnsiTheme="minorEastAsia"/>
              <w:b/>
              <w:bCs/>
              <w:caps/>
              <w:sz w:val="24"/>
              <w:szCs w:val="24"/>
            </w:rPr>
            <w:fldChar w:fldCharType="separate"/>
          </w:r>
          <w:r>
            <w:rPr>
              <w:rFonts w:asciiTheme="minorEastAsia" w:hAnsiTheme="minorEastAsia"/>
              <w:b/>
              <w:bCs/>
              <w:caps/>
              <w:sz w:val="24"/>
              <w:szCs w:val="24"/>
            </w:rPr>
            <w:t>5</w:t>
          </w:r>
          <w:r>
            <w:rPr>
              <w:rFonts w:asciiTheme="minorEastAsia" w:hAnsiTheme="minorEastAsia"/>
              <w:b/>
              <w:bCs/>
              <w:caps/>
              <w:sz w:val="24"/>
              <w:szCs w:val="24"/>
            </w:rPr>
            <w:fldChar w:fldCharType="end"/>
          </w:r>
          <w:r>
            <w:rPr>
              <w:rFonts w:asciiTheme="minorEastAsia" w:hAnsiTheme="minorEastAsia"/>
              <w:b/>
              <w:bCs/>
              <w: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"_Toc89266104" </w:instrText>
          </w:r>
          <w:r>
            <w:fldChar w:fldCharType="separate"/>
          </w:r>
          <w:r>
            <w:rPr>
              <w:rFonts w:asciiTheme="minorEastAsia" w:hAnsiTheme="minorEastAsia"/>
              <w:smallCaps/>
              <w:sz w:val="24"/>
              <w:szCs w:val="24"/>
            </w:rPr>
            <w:t>（一）培养目标</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_Toc89266104 \h </w:instrText>
          </w:r>
          <w:r>
            <w:rPr>
              <w:rFonts w:asciiTheme="minorEastAsia" w:hAnsiTheme="minorEastAsia"/>
              <w:smallCaps/>
              <w:sz w:val="24"/>
              <w:szCs w:val="24"/>
            </w:rPr>
            <w:fldChar w:fldCharType="separate"/>
          </w:r>
          <w:r>
            <w:rPr>
              <w:rFonts w:asciiTheme="minorEastAsia" w:hAnsiTheme="minorEastAsia"/>
              <w:smallCaps/>
              <w:sz w:val="24"/>
              <w:szCs w:val="24"/>
            </w:rPr>
            <w:t>5</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"_Toc89266105" </w:instrText>
          </w:r>
          <w:r>
            <w:fldChar w:fldCharType="separate"/>
          </w:r>
          <w:r>
            <w:rPr>
              <w:rFonts w:asciiTheme="minorEastAsia" w:hAnsiTheme="minorEastAsia"/>
              <w:smallCaps/>
              <w:sz w:val="24"/>
              <w:szCs w:val="24"/>
            </w:rPr>
            <w:t>（二）培养规格</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_Toc89266105 \h </w:instrText>
          </w:r>
          <w:r>
            <w:rPr>
              <w:rFonts w:asciiTheme="minorEastAsia" w:hAnsiTheme="minorEastAsia"/>
              <w:smallCaps/>
              <w:sz w:val="24"/>
              <w:szCs w:val="24"/>
            </w:rPr>
            <w:fldChar w:fldCharType="separate"/>
          </w:r>
          <w:r>
            <w:rPr>
              <w:rFonts w:asciiTheme="minorEastAsia" w:hAnsiTheme="minorEastAsia"/>
              <w:smallCaps/>
              <w:sz w:val="24"/>
              <w:szCs w:val="24"/>
            </w:rPr>
            <w:t>5</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before="120" w:after="120" w:line="400" w:lineRule="exact"/>
            <w:jc w:val="left"/>
            <w:rPr>
              <w:rFonts w:asciiTheme="minorEastAsia" w:hAnsiTheme="minorEastAsia"/>
              <w:sz w:val="24"/>
              <w:szCs w:val="24"/>
            </w:rPr>
          </w:pPr>
          <w:r>
            <w:fldChar w:fldCharType="begin"/>
          </w:r>
          <w:r>
            <w:instrText xml:space="preserve"> HYPERLINK \l "_Toc89266106" </w:instrText>
          </w:r>
          <w:r>
            <w:fldChar w:fldCharType="separate"/>
          </w:r>
          <w:r>
            <w:rPr>
              <w:rFonts w:asciiTheme="minorEastAsia" w:hAnsiTheme="minorEastAsia"/>
              <w:b/>
              <w:bCs/>
              <w:caps/>
              <w:sz w:val="24"/>
              <w:szCs w:val="24"/>
            </w:rPr>
            <w:t>六、课程设置及要求</w:t>
          </w:r>
          <w:r>
            <w:rPr>
              <w:rFonts w:asciiTheme="minorEastAsia" w:hAnsiTheme="minorEastAsia"/>
              <w:b/>
              <w:bCs/>
              <w:caps/>
              <w:sz w:val="24"/>
              <w:szCs w:val="24"/>
            </w:rPr>
            <w:tab/>
          </w:r>
          <w:r>
            <w:rPr>
              <w:rFonts w:asciiTheme="minorEastAsia" w:hAnsiTheme="minorEastAsia"/>
              <w:b/>
              <w:bCs/>
              <w:caps/>
              <w:sz w:val="24"/>
              <w:szCs w:val="24"/>
            </w:rPr>
            <w:fldChar w:fldCharType="begin"/>
          </w:r>
          <w:r>
            <w:rPr>
              <w:rFonts w:asciiTheme="minorEastAsia" w:hAnsiTheme="minorEastAsia"/>
              <w:b/>
              <w:bCs/>
              <w:caps/>
              <w:sz w:val="24"/>
              <w:szCs w:val="24"/>
            </w:rPr>
            <w:instrText xml:space="preserve"> PAGEREF _Toc89266106 \h </w:instrText>
          </w:r>
          <w:r>
            <w:rPr>
              <w:rFonts w:asciiTheme="minorEastAsia" w:hAnsiTheme="minorEastAsia"/>
              <w:b/>
              <w:bCs/>
              <w:caps/>
              <w:sz w:val="24"/>
              <w:szCs w:val="24"/>
            </w:rPr>
            <w:fldChar w:fldCharType="separate"/>
          </w:r>
          <w:r>
            <w:rPr>
              <w:rFonts w:asciiTheme="minorEastAsia" w:hAnsiTheme="minorEastAsia"/>
              <w:b/>
              <w:bCs/>
              <w:caps/>
              <w:sz w:val="24"/>
              <w:szCs w:val="24"/>
            </w:rPr>
            <w:t>8</w:t>
          </w:r>
          <w:r>
            <w:rPr>
              <w:rFonts w:asciiTheme="minorEastAsia" w:hAnsiTheme="minorEastAsia"/>
              <w:b/>
              <w:bCs/>
              <w:caps/>
              <w:sz w:val="24"/>
              <w:szCs w:val="24"/>
            </w:rPr>
            <w:fldChar w:fldCharType="end"/>
          </w:r>
          <w:r>
            <w:rPr>
              <w:rFonts w:asciiTheme="minorEastAsia" w:hAnsiTheme="minorEastAsia"/>
              <w:b/>
              <w:bCs/>
              <w: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"_Toc89266107" </w:instrText>
          </w:r>
          <w:r>
            <w:fldChar w:fldCharType="separate"/>
          </w:r>
          <w:r>
            <w:rPr>
              <w:rFonts w:asciiTheme="minorEastAsia" w:hAnsiTheme="minorEastAsia"/>
              <w:smallCaps/>
              <w:sz w:val="24"/>
              <w:szCs w:val="24"/>
            </w:rPr>
            <w:t>（一）公共基础课程</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_Toc89266107 \h </w:instrText>
          </w:r>
          <w:r>
            <w:rPr>
              <w:rFonts w:asciiTheme="minorEastAsia" w:hAnsiTheme="minorEastAsia"/>
              <w:smallCaps/>
              <w:sz w:val="24"/>
              <w:szCs w:val="24"/>
            </w:rPr>
            <w:fldChar w:fldCharType="separate"/>
          </w:r>
          <w:r>
            <w:rPr>
              <w:rFonts w:asciiTheme="minorEastAsia" w:hAnsiTheme="minorEastAsia"/>
              <w:smallCaps/>
              <w:sz w:val="24"/>
              <w:szCs w:val="24"/>
            </w:rPr>
            <w:t>8</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"_Toc89266108" </w:instrText>
          </w:r>
          <w:r>
            <w:fldChar w:fldCharType="separate"/>
          </w:r>
          <w:r>
            <w:rPr>
              <w:rFonts w:asciiTheme="minorEastAsia" w:hAnsiTheme="minorEastAsia"/>
              <w:smallCaps/>
              <w:sz w:val="24"/>
              <w:szCs w:val="24"/>
            </w:rPr>
            <w:t>（二）专业课程</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_Toc89266108 \h </w:instrText>
          </w:r>
          <w:r>
            <w:rPr>
              <w:rFonts w:asciiTheme="minorEastAsia" w:hAnsiTheme="minorEastAsia"/>
              <w:smallCaps/>
              <w:sz w:val="24"/>
              <w:szCs w:val="24"/>
            </w:rPr>
            <w:fldChar w:fldCharType="separate"/>
          </w:r>
          <w:r>
            <w:rPr>
              <w:rFonts w:asciiTheme="minorEastAsia" w:hAnsiTheme="minorEastAsia"/>
              <w:smallCaps/>
              <w:sz w:val="24"/>
              <w:szCs w:val="24"/>
            </w:rPr>
            <w:t>13</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before="120" w:after="120" w:line="400" w:lineRule="exact"/>
            <w:jc w:val="left"/>
            <w:rPr>
              <w:rFonts w:hint="eastAsia" w:asciiTheme="minorEastAsia" w:hAnsiTheme="minorEastAsia" w:eastAsiaTheme="minorEastAsia"/>
              <w:sz w:val="24"/>
              <w:szCs w:val="24"/>
              <w:lang w:val="en-US" w:eastAsia="zh-CN"/>
            </w:rPr>
          </w:pPr>
          <w:r>
            <w:fldChar w:fldCharType="begin"/>
          </w:r>
          <w:r>
            <w:instrText xml:space="preserve"> HYPERLINK \l "_Toc89266110" </w:instrText>
          </w:r>
          <w:r>
            <w:fldChar w:fldCharType="separate"/>
          </w:r>
          <w:r>
            <w:rPr>
              <w:rFonts w:asciiTheme="minorEastAsia" w:hAnsiTheme="minorEastAsia"/>
              <w:b/>
              <w:bCs/>
              <w:caps/>
              <w:sz w:val="24"/>
              <w:szCs w:val="24"/>
            </w:rPr>
            <w:t>七、教学进程总体安排</w:t>
          </w:r>
          <w:r>
            <w:rPr>
              <w:rFonts w:asciiTheme="minorEastAsia" w:hAnsiTheme="minorEastAsia"/>
              <w:b/>
              <w:bCs/>
              <w:caps/>
              <w:sz w:val="24"/>
              <w:szCs w:val="24"/>
            </w:rPr>
            <w:tab/>
          </w:r>
          <w:r>
            <w:rPr>
              <w:rFonts w:hint="eastAsia" w:asciiTheme="minorEastAsia" w:hAnsiTheme="minorEastAsia"/>
              <w:b/>
              <w:bCs/>
              <w:caps/>
              <w:sz w:val="24"/>
              <w:szCs w:val="24"/>
              <w:lang w:val="en-US" w:eastAsia="zh-CN"/>
            </w:rPr>
            <w:t>1</w:t>
          </w:r>
          <w:r>
            <w:rPr>
              <w:rFonts w:asciiTheme="minorEastAsia" w:hAnsiTheme="minorEastAsia"/>
              <w:b/>
              <w:bCs/>
              <w:caps/>
              <w:sz w:val="24"/>
              <w:szCs w:val="24"/>
            </w:rPr>
            <w:fldChar w:fldCharType="end"/>
          </w:r>
          <w:r>
            <w:rPr>
              <w:rFonts w:hint="eastAsia" w:asciiTheme="minorEastAsia" w:hAnsiTheme="minorEastAsia"/>
              <w:b/>
              <w:bCs/>
              <w:caps/>
              <w:sz w:val="24"/>
              <w:szCs w:val="24"/>
              <w:lang w:val="en-US" w:eastAsia="zh-CN"/>
            </w:rPr>
            <w:t>5</w:t>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"_Toc89266111" </w:instrText>
          </w:r>
          <w:r>
            <w:fldChar w:fldCharType="separate"/>
          </w:r>
          <w:r>
            <w:rPr>
              <w:rFonts w:asciiTheme="minorEastAsia" w:hAnsiTheme="minorEastAsia"/>
              <w:smallCaps/>
              <w:sz w:val="24"/>
              <w:szCs w:val="24"/>
            </w:rPr>
            <w:t>（一）教学时间安排</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_Toc89266111 \h </w:instrText>
          </w:r>
          <w:r>
            <w:rPr>
              <w:rFonts w:asciiTheme="minorEastAsia" w:hAnsiTheme="minorEastAsia"/>
              <w:smallCaps/>
              <w:sz w:val="24"/>
              <w:szCs w:val="24"/>
            </w:rPr>
            <w:fldChar w:fldCharType="separate"/>
          </w:r>
          <w:r>
            <w:rPr>
              <w:rFonts w:asciiTheme="minorEastAsia" w:hAnsiTheme="minorEastAsia"/>
              <w:smallCaps/>
              <w:sz w:val="24"/>
              <w:szCs w:val="24"/>
            </w:rPr>
            <w:t>1</w:t>
          </w:r>
          <w:r>
            <w:rPr>
              <w:rFonts w:hint="eastAsia" w:asciiTheme="minorEastAsia" w:hAnsiTheme="minorEastAsia"/>
              <w:smallCaps/>
              <w:sz w:val="24"/>
              <w:szCs w:val="24"/>
              <w:lang w:val="en-US" w:eastAsia="zh-CN"/>
            </w:rPr>
            <w:t>5</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"_Toc89266112" </w:instrText>
          </w:r>
          <w:r>
            <w:fldChar w:fldCharType="separate"/>
          </w:r>
          <w:r>
            <w:rPr>
              <w:rFonts w:asciiTheme="minorEastAsia" w:hAnsiTheme="minorEastAsia"/>
              <w:smallCaps/>
              <w:sz w:val="24"/>
              <w:szCs w:val="24"/>
            </w:rPr>
            <w:t>（二）教学进程安排</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_Toc89266112 \h </w:instrText>
          </w:r>
          <w:r>
            <w:rPr>
              <w:rFonts w:asciiTheme="minorEastAsia" w:hAnsiTheme="minorEastAsia"/>
              <w:smallCaps/>
              <w:sz w:val="24"/>
              <w:szCs w:val="24"/>
            </w:rPr>
            <w:fldChar w:fldCharType="separate"/>
          </w:r>
          <w:r>
            <w:rPr>
              <w:rFonts w:asciiTheme="minorEastAsia" w:hAnsiTheme="minorEastAsia"/>
              <w:smallCaps/>
              <w:sz w:val="24"/>
              <w:szCs w:val="24"/>
            </w:rPr>
            <w:t>1</w:t>
          </w:r>
          <w:r>
            <w:rPr>
              <w:rFonts w:hint="eastAsia" w:asciiTheme="minorEastAsia" w:hAnsiTheme="minorEastAsia"/>
              <w:smallCaps/>
              <w:sz w:val="24"/>
              <w:szCs w:val="24"/>
              <w:lang w:val="en-US" w:eastAsia="zh-CN"/>
            </w:rPr>
            <w:t>6</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before="120" w:after="120" w:line="400" w:lineRule="exact"/>
            <w:jc w:val="left"/>
            <w:rPr>
              <w:rFonts w:asciiTheme="minorEastAsia" w:hAnsiTheme="minorEastAsia"/>
              <w:sz w:val="24"/>
              <w:szCs w:val="24"/>
            </w:rPr>
          </w:pPr>
          <w:r>
            <w:fldChar w:fldCharType="begin"/>
          </w:r>
          <w:r>
            <w:instrText xml:space="preserve"> HYPERLINK \l "_Toc89266113" </w:instrText>
          </w:r>
          <w:r>
            <w:fldChar w:fldCharType="separate"/>
          </w:r>
          <w:r>
            <w:rPr>
              <w:rFonts w:asciiTheme="minorEastAsia" w:hAnsiTheme="minorEastAsia"/>
              <w:b/>
              <w:bCs/>
              <w:caps/>
              <w:sz w:val="24"/>
              <w:szCs w:val="24"/>
            </w:rPr>
            <w:t>八、实施保障</w:t>
          </w:r>
          <w:r>
            <w:rPr>
              <w:rFonts w:asciiTheme="minorEastAsia" w:hAnsiTheme="minorEastAsia"/>
              <w:b/>
              <w:bCs/>
              <w:caps/>
              <w:sz w:val="24"/>
              <w:szCs w:val="24"/>
            </w:rPr>
            <w:tab/>
          </w:r>
          <w:r>
            <w:rPr>
              <w:rFonts w:asciiTheme="minorEastAsia" w:hAnsiTheme="minorEastAsia"/>
              <w:b/>
              <w:bCs/>
              <w:caps/>
              <w:sz w:val="24"/>
              <w:szCs w:val="24"/>
            </w:rPr>
            <w:fldChar w:fldCharType="begin"/>
          </w:r>
          <w:r>
            <w:rPr>
              <w:rFonts w:asciiTheme="minorEastAsia" w:hAnsiTheme="minorEastAsia"/>
              <w:b/>
              <w:bCs/>
              <w:caps/>
              <w:sz w:val="24"/>
              <w:szCs w:val="24"/>
            </w:rPr>
            <w:instrText xml:space="preserve"> PAGEREF _Toc89266113 \h </w:instrText>
          </w:r>
          <w:r>
            <w:rPr>
              <w:rFonts w:asciiTheme="minorEastAsia" w:hAnsiTheme="minorEastAsia"/>
              <w:b/>
              <w:bCs/>
              <w:caps/>
              <w:sz w:val="24"/>
              <w:szCs w:val="24"/>
            </w:rPr>
            <w:fldChar w:fldCharType="separate"/>
          </w:r>
          <w:r>
            <w:rPr>
              <w:rFonts w:asciiTheme="minorEastAsia" w:hAnsiTheme="minorEastAsia"/>
              <w:b/>
              <w:bCs/>
              <w:caps/>
              <w:sz w:val="24"/>
              <w:szCs w:val="24"/>
            </w:rPr>
            <w:t>2</w:t>
          </w:r>
          <w:r>
            <w:rPr>
              <w:rFonts w:hint="eastAsia" w:asciiTheme="minorEastAsia" w:hAnsiTheme="minorEastAsia"/>
              <w:b/>
              <w:bCs/>
              <w:caps/>
              <w:sz w:val="24"/>
              <w:szCs w:val="24"/>
              <w:lang w:val="en-US" w:eastAsia="zh-CN"/>
            </w:rPr>
            <w:t>0</w:t>
          </w:r>
          <w:r>
            <w:rPr>
              <w:rFonts w:asciiTheme="minorEastAsia" w:hAnsiTheme="minorEastAsia"/>
              <w:b/>
              <w:bCs/>
              <w:caps/>
              <w:sz w:val="24"/>
              <w:szCs w:val="24"/>
            </w:rPr>
            <w:fldChar w:fldCharType="end"/>
          </w:r>
          <w:r>
            <w:rPr>
              <w:rFonts w:asciiTheme="minorEastAsia" w:hAnsiTheme="minorEastAsia"/>
              <w:b/>
              <w:bCs/>
              <w: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"_Toc89266114" </w:instrText>
          </w:r>
          <w:r>
            <w:fldChar w:fldCharType="separate"/>
          </w:r>
          <w:r>
            <w:rPr>
              <w:rFonts w:asciiTheme="minorEastAsia" w:hAnsiTheme="minorEastAsia"/>
              <w:smallCaps/>
              <w:sz w:val="24"/>
              <w:szCs w:val="24"/>
            </w:rPr>
            <w:t>（一）师资队伍</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_Toc89266114 \h </w:instrText>
          </w:r>
          <w:r>
            <w:rPr>
              <w:rFonts w:asciiTheme="minorEastAsia" w:hAnsiTheme="minorEastAsia"/>
              <w:smallCaps/>
              <w:sz w:val="24"/>
              <w:szCs w:val="24"/>
            </w:rPr>
            <w:fldChar w:fldCharType="separate"/>
          </w:r>
          <w:r>
            <w:rPr>
              <w:rFonts w:asciiTheme="minorEastAsia" w:hAnsiTheme="minorEastAsia"/>
              <w:smallCaps/>
              <w:sz w:val="24"/>
              <w:szCs w:val="24"/>
            </w:rPr>
            <w:t>2</w:t>
          </w:r>
          <w:r>
            <w:rPr>
              <w:rFonts w:hint="eastAsia" w:asciiTheme="minorEastAsia" w:hAnsiTheme="minorEastAsia"/>
              <w:smallCaps/>
              <w:sz w:val="24"/>
              <w:szCs w:val="24"/>
              <w:lang w:val="en-US" w:eastAsia="zh-CN"/>
            </w:rPr>
            <w:t>0</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"_Toc89266115" </w:instrText>
          </w:r>
          <w:r>
            <w:fldChar w:fldCharType="separate"/>
          </w:r>
          <w:r>
            <w:rPr>
              <w:rFonts w:asciiTheme="minorEastAsia" w:hAnsiTheme="minorEastAsia"/>
              <w:smallCaps/>
              <w:sz w:val="24"/>
              <w:szCs w:val="24"/>
            </w:rPr>
            <w:t>（二）教学设施</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_Toc89266115 \h </w:instrText>
          </w:r>
          <w:r>
            <w:rPr>
              <w:rFonts w:asciiTheme="minorEastAsia" w:hAnsiTheme="minorEastAsia"/>
              <w:smallCaps/>
              <w:sz w:val="24"/>
              <w:szCs w:val="24"/>
            </w:rPr>
            <w:fldChar w:fldCharType="separate"/>
          </w:r>
          <w:r>
            <w:rPr>
              <w:rFonts w:asciiTheme="minorEastAsia" w:hAnsiTheme="minorEastAsia"/>
              <w:smallCaps/>
              <w:sz w:val="24"/>
              <w:szCs w:val="24"/>
            </w:rPr>
            <w:t>2</w:t>
          </w:r>
          <w:r>
            <w:rPr>
              <w:rFonts w:hint="eastAsia" w:asciiTheme="minorEastAsia" w:hAnsiTheme="minorEastAsia"/>
              <w:smallCaps/>
              <w:sz w:val="24"/>
              <w:szCs w:val="24"/>
              <w:lang w:val="en-US" w:eastAsia="zh-CN"/>
            </w:rPr>
            <w:t>2</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"_Toc89266116" </w:instrText>
          </w:r>
          <w:r>
            <w:fldChar w:fldCharType="separate"/>
          </w:r>
          <w:r>
            <w:rPr>
              <w:rFonts w:asciiTheme="minorEastAsia" w:hAnsiTheme="minorEastAsia"/>
              <w:smallCaps/>
              <w:sz w:val="24"/>
              <w:szCs w:val="24"/>
            </w:rPr>
            <w:t>（三）教学资源</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_Toc89266116 \h </w:instrText>
          </w:r>
          <w:r>
            <w:rPr>
              <w:rFonts w:asciiTheme="minorEastAsia" w:hAnsiTheme="minorEastAsia"/>
              <w:smallCaps/>
              <w:sz w:val="24"/>
              <w:szCs w:val="24"/>
            </w:rPr>
            <w:fldChar w:fldCharType="separate"/>
          </w:r>
          <w:r>
            <w:rPr>
              <w:rFonts w:asciiTheme="minorEastAsia" w:hAnsiTheme="minorEastAsia"/>
              <w:smallCaps/>
              <w:sz w:val="24"/>
              <w:szCs w:val="24"/>
            </w:rPr>
            <w:t>2</w:t>
          </w:r>
          <w:r>
            <w:rPr>
              <w:rFonts w:hint="eastAsia" w:asciiTheme="minorEastAsia" w:hAnsiTheme="minorEastAsia"/>
              <w:smallCaps/>
              <w:sz w:val="24"/>
              <w:szCs w:val="24"/>
              <w:lang w:val="en-US" w:eastAsia="zh-CN"/>
            </w:rPr>
            <w:t>5</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"_Toc89266117" </w:instrText>
          </w:r>
          <w:r>
            <w:fldChar w:fldCharType="separate"/>
          </w:r>
          <w:r>
            <w:rPr>
              <w:rFonts w:asciiTheme="minorEastAsia" w:hAnsiTheme="minorEastAsia"/>
              <w:smallCaps/>
              <w:sz w:val="24"/>
              <w:szCs w:val="24"/>
            </w:rPr>
            <w:t>（四）教学方法</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_Toc89266117 \h </w:instrText>
          </w:r>
          <w:r>
            <w:rPr>
              <w:rFonts w:asciiTheme="minorEastAsia" w:hAnsiTheme="minorEastAsia"/>
              <w:smallCaps/>
              <w:sz w:val="24"/>
              <w:szCs w:val="24"/>
            </w:rPr>
            <w:fldChar w:fldCharType="separate"/>
          </w:r>
          <w:r>
            <w:rPr>
              <w:rFonts w:asciiTheme="minorEastAsia" w:hAnsiTheme="minorEastAsia"/>
              <w:smallCaps/>
              <w:sz w:val="24"/>
              <w:szCs w:val="24"/>
            </w:rPr>
            <w:t>2</w:t>
          </w:r>
          <w:r>
            <w:rPr>
              <w:rFonts w:hint="eastAsia" w:asciiTheme="minorEastAsia" w:hAnsiTheme="minorEastAsia"/>
              <w:smallCaps/>
              <w:sz w:val="24"/>
              <w:szCs w:val="24"/>
              <w:lang w:val="en-US" w:eastAsia="zh-CN"/>
            </w:rPr>
            <w:t>6</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"_Toc89266118" </w:instrText>
          </w:r>
          <w:r>
            <w:fldChar w:fldCharType="separate"/>
          </w:r>
          <w:r>
            <w:rPr>
              <w:rFonts w:asciiTheme="minorEastAsia" w:hAnsiTheme="minorEastAsia"/>
              <w:smallCaps/>
              <w:sz w:val="24"/>
              <w:szCs w:val="24"/>
            </w:rPr>
            <w:t>（五）学习评价</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_Toc89266118 \h </w:instrText>
          </w:r>
          <w:r>
            <w:rPr>
              <w:rFonts w:asciiTheme="minorEastAsia" w:hAnsiTheme="minorEastAsia"/>
              <w:smallCaps/>
              <w:sz w:val="24"/>
              <w:szCs w:val="24"/>
            </w:rPr>
            <w:fldChar w:fldCharType="separate"/>
          </w:r>
          <w:r>
            <w:rPr>
              <w:rFonts w:asciiTheme="minorEastAsia" w:hAnsiTheme="minorEastAsia"/>
              <w:smallCaps/>
              <w:sz w:val="24"/>
              <w:szCs w:val="24"/>
            </w:rPr>
            <w:t>3</w:t>
          </w:r>
          <w:r>
            <w:rPr>
              <w:rFonts w:hint="eastAsia" w:asciiTheme="minorEastAsia" w:hAnsiTheme="minorEastAsia"/>
              <w:smallCaps/>
              <w:sz w:val="24"/>
              <w:szCs w:val="24"/>
              <w:lang w:val="en-US" w:eastAsia="zh-CN"/>
            </w:rPr>
            <w:t>3</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"_Toc89266119" </w:instrText>
          </w:r>
          <w:r>
            <w:fldChar w:fldCharType="separate"/>
          </w:r>
          <w:r>
            <w:rPr>
              <w:rFonts w:asciiTheme="minorEastAsia" w:hAnsiTheme="minorEastAsia"/>
              <w:smallCaps/>
              <w:sz w:val="24"/>
              <w:szCs w:val="24"/>
            </w:rPr>
            <w:t>（六）质量管理</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_Toc89266119 \h </w:instrText>
          </w:r>
          <w:r>
            <w:rPr>
              <w:rFonts w:asciiTheme="minorEastAsia" w:hAnsiTheme="minorEastAsia"/>
              <w:smallCaps/>
              <w:sz w:val="24"/>
              <w:szCs w:val="24"/>
            </w:rPr>
            <w:fldChar w:fldCharType="separate"/>
          </w:r>
          <w:r>
            <w:rPr>
              <w:rFonts w:asciiTheme="minorEastAsia" w:hAnsiTheme="minorEastAsia"/>
              <w:smallCaps/>
              <w:sz w:val="24"/>
              <w:szCs w:val="24"/>
            </w:rPr>
            <w:t>3</w:t>
          </w:r>
          <w:r>
            <w:rPr>
              <w:rFonts w:hint="eastAsia" w:asciiTheme="minorEastAsia" w:hAnsiTheme="minorEastAsia"/>
              <w:smallCaps/>
              <w:sz w:val="24"/>
              <w:szCs w:val="24"/>
              <w:lang w:val="en-US" w:eastAsia="zh-CN"/>
            </w:rPr>
            <w:t>4</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before="120" w:after="120" w:line="400" w:lineRule="exact"/>
            <w:jc w:val="left"/>
            <w:rPr>
              <w:rFonts w:asciiTheme="minorEastAsia" w:hAnsiTheme="minorEastAsia"/>
              <w:sz w:val="24"/>
              <w:szCs w:val="24"/>
            </w:rPr>
          </w:pPr>
          <w:r>
            <w:fldChar w:fldCharType="begin"/>
          </w:r>
          <w:r>
            <w:instrText xml:space="preserve"> HYPERLINK \l "_Toc89266120" </w:instrText>
          </w:r>
          <w:r>
            <w:fldChar w:fldCharType="separate"/>
          </w:r>
          <w:r>
            <w:rPr>
              <w:rFonts w:asciiTheme="minorEastAsia" w:hAnsiTheme="minorEastAsia"/>
              <w:b/>
              <w:bCs/>
              <w:caps/>
              <w:sz w:val="24"/>
              <w:szCs w:val="24"/>
            </w:rPr>
            <w:t>九、毕业要求</w:t>
          </w:r>
          <w:r>
            <w:rPr>
              <w:rFonts w:asciiTheme="minorEastAsia" w:hAnsiTheme="minorEastAsia"/>
              <w:b/>
              <w:bCs/>
              <w:caps/>
              <w:sz w:val="24"/>
              <w:szCs w:val="24"/>
            </w:rPr>
            <w:tab/>
          </w:r>
          <w:r>
            <w:rPr>
              <w:rFonts w:asciiTheme="minorEastAsia" w:hAnsiTheme="minorEastAsia"/>
              <w:b/>
              <w:bCs/>
              <w:caps/>
              <w:sz w:val="24"/>
              <w:szCs w:val="24"/>
            </w:rPr>
            <w:fldChar w:fldCharType="begin"/>
          </w:r>
          <w:r>
            <w:rPr>
              <w:rFonts w:asciiTheme="minorEastAsia" w:hAnsiTheme="minorEastAsia"/>
              <w:b/>
              <w:bCs/>
              <w:caps/>
              <w:sz w:val="24"/>
              <w:szCs w:val="24"/>
            </w:rPr>
            <w:instrText xml:space="preserve"> PAGEREF _Toc89266120 \h </w:instrText>
          </w:r>
          <w:r>
            <w:rPr>
              <w:rFonts w:asciiTheme="minorEastAsia" w:hAnsiTheme="minorEastAsia"/>
              <w:b/>
              <w:bCs/>
              <w:caps/>
              <w:sz w:val="24"/>
              <w:szCs w:val="24"/>
            </w:rPr>
            <w:fldChar w:fldCharType="separate"/>
          </w:r>
          <w:r>
            <w:rPr>
              <w:rFonts w:asciiTheme="minorEastAsia" w:hAnsiTheme="minorEastAsia"/>
              <w:b/>
              <w:bCs/>
              <w:caps/>
              <w:sz w:val="24"/>
              <w:szCs w:val="24"/>
            </w:rPr>
            <w:t>3</w:t>
          </w:r>
          <w:r>
            <w:rPr>
              <w:rFonts w:hint="eastAsia" w:asciiTheme="minorEastAsia" w:hAnsiTheme="minorEastAsia"/>
              <w:b/>
              <w:bCs/>
              <w:caps/>
              <w:sz w:val="24"/>
              <w:szCs w:val="24"/>
              <w:lang w:val="en-US" w:eastAsia="zh-CN"/>
            </w:rPr>
            <w:t>4</w:t>
          </w:r>
          <w:r>
            <w:rPr>
              <w:rFonts w:asciiTheme="minorEastAsia" w:hAnsiTheme="minorEastAsia"/>
              <w:b/>
              <w:bCs/>
              <w:caps/>
              <w:sz w:val="24"/>
              <w:szCs w:val="24"/>
            </w:rPr>
            <w:fldChar w:fldCharType="end"/>
          </w:r>
          <w:r>
            <w:rPr>
              <w:rFonts w:asciiTheme="minorEastAsia" w:hAnsiTheme="minorEastAsia"/>
              <w:b/>
              <w:bCs/>
              <w: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"_Toc89266121" </w:instrText>
          </w:r>
          <w:r>
            <w:fldChar w:fldCharType="separate"/>
          </w:r>
          <w:r>
            <w:rPr>
              <w:rFonts w:asciiTheme="minorEastAsia" w:hAnsiTheme="minorEastAsia"/>
              <w:smallCaps/>
              <w:kern w:val="44"/>
              <w:sz w:val="24"/>
              <w:szCs w:val="24"/>
            </w:rPr>
            <w:t>（一）</w:t>
          </w:r>
          <w:r>
            <w:rPr>
              <w:rFonts w:asciiTheme="minorEastAsia" w:hAnsiTheme="minorEastAsia"/>
              <w:smallCaps/>
              <w:sz w:val="24"/>
              <w:szCs w:val="24"/>
            </w:rPr>
            <w:t>专业知识要求</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_Toc89266121 \h </w:instrText>
          </w:r>
          <w:r>
            <w:rPr>
              <w:rFonts w:asciiTheme="minorEastAsia" w:hAnsiTheme="minorEastAsia"/>
              <w:smallCaps/>
              <w:sz w:val="24"/>
              <w:szCs w:val="24"/>
            </w:rPr>
            <w:fldChar w:fldCharType="separate"/>
          </w:r>
          <w:r>
            <w:rPr>
              <w:rFonts w:asciiTheme="minorEastAsia" w:hAnsiTheme="minorEastAsia"/>
              <w:smallCaps/>
              <w:sz w:val="24"/>
              <w:szCs w:val="24"/>
            </w:rPr>
            <w:t>3</w:t>
          </w:r>
          <w:r>
            <w:rPr>
              <w:rFonts w:hint="eastAsia" w:asciiTheme="minorEastAsia" w:hAnsiTheme="minorEastAsia"/>
              <w:smallCaps/>
              <w:sz w:val="24"/>
              <w:szCs w:val="24"/>
              <w:lang w:val="en-US" w:eastAsia="zh-CN"/>
            </w:rPr>
            <w:t>4</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"_Toc89266122" </w:instrText>
          </w:r>
          <w:r>
            <w:fldChar w:fldCharType="separate"/>
          </w:r>
          <w:r>
            <w:rPr>
              <w:rFonts w:asciiTheme="minorEastAsia" w:hAnsiTheme="minorEastAsia"/>
              <w:smallCaps/>
              <w:sz w:val="24"/>
              <w:szCs w:val="24"/>
            </w:rPr>
            <w:t>（二）专业能力要求</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_Toc89266122 \h </w:instrText>
          </w:r>
          <w:r>
            <w:rPr>
              <w:rFonts w:asciiTheme="minorEastAsia" w:hAnsiTheme="minorEastAsia"/>
              <w:smallCaps/>
              <w:sz w:val="24"/>
              <w:szCs w:val="24"/>
            </w:rPr>
            <w:fldChar w:fldCharType="separate"/>
          </w:r>
          <w:r>
            <w:rPr>
              <w:rFonts w:asciiTheme="minorEastAsia" w:hAnsiTheme="minorEastAsia"/>
              <w:smallCaps/>
              <w:sz w:val="24"/>
              <w:szCs w:val="24"/>
            </w:rPr>
            <w:t>3</w:t>
          </w:r>
          <w:r>
            <w:rPr>
              <w:rFonts w:hint="eastAsia" w:asciiTheme="minorEastAsia" w:hAnsiTheme="minorEastAsia"/>
              <w:smallCaps/>
              <w:sz w:val="24"/>
              <w:szCs w:val="24"/>
              <w:lang w:val="en-US" w:eastAsia="zh-CN"/>
            </w:rPr>
            <w:t>5</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line="400" w:lineRule="exact"/>
            <w:ind w:left="280"/>
            <w:jc w:val="left"/>
            <w:rPr>
              <w:rFonts w:asciiTheme="minorEastAsia" w:hAnsiTheme="minorEastAsia"/>
              <w:sz w:val="24"/>
              <w:szCs w:val="24"/>
            </w:rPr>
          </w:pPr>
          <w:r>
            <w:fldChar w:fldCharType="begin"/>
          </w:r>
          <w:r>
            <w:instrText xml:space="preserve"> HYPERLINK \l "_Toc89266123" </w:instrText>
          </w:r>
          <w:r>
            <w:fldChar w:fldCharType="separate"/>
          </w:r>
          <w:r>
            <w:rPr>
              <w:rFonts w:asciiTheme="minorEastAsia" w:hAnsiTheme="minorEastAsia"/>
              <w:smallCaps/>
              <w:sz w:val="24"/>
              <w:szCs w:val="24"/>
            </w:rPr>
            <w:t>（三）素质能力要求</w:t>
          </w:r>
          <w:r>
            <w:rPr>
              <w:rFonts w:asciiTheme="minorEastAsia" w:hAnsiTheme="minorEastAsia"/>
              <w:smallCaps/>
              <w:sz w:val="24"/>
              <w:szCs w:val="24"/>
            </w:rPr>
            <w:tab/>
          </w:r>
          <w:r>
            <w:rPr>
              <w:rFonts w:asciiTheme="minorEastAsia" w:hAnsiTheme="minorEastAsia"/>
              <w:smallCaps/>
              <w:sz w:val="24"/>
              <w:szCs w:val="24"/>
            </w:rPr>
            <w:fldChar w:fldCharType="begin"/>
          </w:r>
          <w:r>
            <w:rPr>
              <w:rFonts w:asciiTheme="minorEastAsia" w:hAnsiTheme="minorEastAsia"/>
              <w:smallCaps/>
              <w:sz w:val="24"/>
              <w:szCs w:val="24"/>
            </w:rPr>
            <w:instrText xml:space="preserve"> PAGEREF _Toc89266123 \h </w:instrText>
          </w:r>
          <w:r>
            <w:rPr>
              <w:rFonts w:asciiTheme="minorEastAsia" w:hAnsiTheme="minorEastAsia"/>
              <w:smallCaps/>
              <w:sz w:val="24"/>
              <w:szCs w:val="24"/>
            </w:rPr>
            <w:fldChar w:fldCharType="separate"/>
          </w:r>
          <w:r>
            <w:rPr>
              <w:rFonts w:asciiTheme="minorEastAsia" w:hAnsiTheme="minorEastAsia"/>
              <w:smallCaps/>
              <w:sz w:val="24"/>
              <w:szCs w:val="24"/>
            </w:rPr>
            <w:t>3</w:t>
          </w:r>
          <w:r>
            <w:rPr>
              <w:rFonts w:hint="eastAsia" w:asciiTheme="minorEastAsia" w:hAnsiTheme="minorEastAsia"/>
              <w:smallCaps/>
              <w:sz w:val="24"/>
              <w:szCs w:val="24"/>
              <w:lang w:val="en-US" w:eastAsia="zh-CN"/>
            </w:rPr>
            <w:t>5</w:t>
          </w:r>
          <w:r>
            <w:rPr>
              <w:rFonts w:asciiTheme="minorEastAsia" w:hAnsiTheme="minorEastAsia"/>
              <w:smallCaps/>
              <w:sz w:val="24"/>
              <w:szCs w:val="24"/>
            </w:rPr>
            <w:fldChar w:fldCharType="end"/>
          </w:r>
          <w:r>
            <w:rPr>
              <w:rFonts w:asciiTheme="minorEastAsia" w:hAnsiTheme="minorEastAsia"/>
              <w:smallCaps/>
              <w:sz w:val="24"/>
              <w:szCs w:val="24"/>
            </w:rPr>
            <w:fldChar w:fldCharType="end"/>
          </w:r>
        </w:p>
        <w:p>
          <w:pPr>
            <w:tabs>
              <w:tab w:val="right" w:leader="dot" w:pos="9174"/>
            </w:tabs>
            <w:spacing w:before="120" w:after="120" w:line="400" w:lineRule="exact"/>
            <w:jc w:val="left"/>
            <w:rPr>
              <w:rFonts w:hint="eastAsia" w:asciiTheme="minorEastAsia" w:hAnsiTheme="minorEastAsia" w:eastAsiaTheme="minorEastAsia"/>
              <w:sz w:val="24"/>
              <w:szCs w:val="24"/>
              <w:lang w:val="en-US" w:eastAsia="zh-CN"/>
            </w:rPr>
          </w:pPr>
          <w:r>
            <w:fldChar w:fldCharType="begin"/>
          </w:r>
          <w:r>
            <w:instrText xml:space="preserve"> HYPERLINK \l "_Toc89266124" </w:instrText>
          </w:r>
          <w:r>
            <w:fldChar w:fldCharType="separate"/>
          </w:r>
          <w:r>
            <w:rPr>
              <w:rFonts w:asciiTheme="minorEastAsia" w:hAnsiTheme="minorEastAsia"/>
              <w:b/>
              <w:bCs/>
              <w:caps/>
              <w:sz w:val="24"/>
              <w:szCs w:val="24"/>
            </w:rPr>
            <w:t>十、附录</w:t>
          </w:r>
          <w:r>
            <w:rPr>
              <w:rFonts w:asciiTheme="minorEastAsia" w:hAnsiTheme="minorEastAsia"/>
              <w:b/>
              <w:bCs/>
              <w:caps/>
              <w:sz w:val="24"/>
              <w:szCs w:val="24"/>
            </w:rPr>
            <w:tab/>
          </w:r>
          <w:r>
            <w:rPr>
              <w:rFonts w:hint="eastAsia" w:asciiTheme="minorEastAsia" w:hAnsiTheme="minorEastAsia"/>
              <w:b/>
              <w:bCs/>
              <w:caps/>
              <w:sz w:val="24"/>
              <w:szCs w:val="24"/>
              <w:lang w:val="en-US" w:eastAsia="zh-CN"/>
            </w:rPr>
            <w:t>3</w:t>
          </w:r>
          <w:r>
            <w:rPr>
              <w:rFonts w:asciiTheme="minorEastAsia" w:hAnsiTheme="minorEastAsia"/>
              <w:b/>
              <w:bCs/>
              <w:caps/>
              <w:sz w:val="24"/>
              <w:szCs w:val="24"/>
            </w:rPr>
            <w:fldChar w:fldCharType="end"/>
          </w:r>
          <w:r>
            <w:rPr>
              <w:rFonts w:hint="eastAsia" w:asciiTheme="minorEastAsia" w:hAnsiTheme="minorEastAsia"/>
              <w:b/>
              <w:bCs/>
              <w:caps/>
              <w:sz w:val="24"/>
              <w:szCs w:val="24"/>
              <w:lang w:val="en-US" w:eastAsia="zh-CN"/>
            </w:rPr>
            <w:t>7</w:t>
          </w:r>
        </w:p>
        <w:p>
          <w:pPr>
            <w:tabs>
              <w:tab w:val="right" w:leader="dot" w:pos="9174"/>
            </w:tabs>
            <w:spacing w:line="400" w:lineRule="exact"/>
            <w:ind w:left="280"/>
            <w:jc w:val="left"/>
            <w:rPr>
              <w:rFonts w:hint="eastAsia" w:asciiTheme="minorEastAsia" w:hAnsiTheme="minorEastAsia" w:eastAsiaTheme="minorEastAsia"/>
              <w:sz w:val="24"/>
              <w:szCs w:val="24"/>
              <w:lang w:val="en-US" w:eastAsia="zh-CN"/>
            </w:rPr>
          </w:pPr>
          <w:r>
            <w:fldChar w:fldCharType="begin"/>
          </w:r>
          <w:r>
            <w:instrText xml:space="preserve"> HYPERLINK \l "_Toc89266125" </w:instrText>
          </w:r>
          <w:r>
            <w:fldChar w:fldCharType="separate"/>
          </w:r>
          <w:r>
            <w:rPr>
              <w:rFonts w:asciiTheme="minorEastAsia" w:hAnsiTheme="minorEastAsia"/>
              <w:smallCaps/>
              <w:sz w:val="24"/>
              <w:szCs w:val="24"/>
            </w:rPr>
            <w:t>附件：教学执行计划变更申请审批表</w:t>
          </w:r>
          <w:r>
            <w:rPr>
              <w:rFonts w:asciiTheme="minorEastAsia" w:hAnsiTheme="minorEastAsia"/>
              <w:smallCaps/>
              <w:sz w:val="24"/>
              <w:szCs w:val="24"/>
            </w:rPr>
            <w:tab/>
          </w:r>
          <w:r>
            <w:rPr>
              <w:rFonts w:hint="eastAsia" w:asciiTheme="minorEastAsia" w:hAnsiTheme="minorEastAsia"/>
              <w:smallCaps/>
              <w:sz w:val="24"/>
              <w:szCs w:val="24"/>
              <w:lang w:val="en-US" w:eastAsia="zh-CN"/>
            </w:rPr>
            <w:t>3</w:t>
          </w:r>
          <w:r>
            <w:rPr>
              <w:rFonts w:asciiTheme="minorEastAsia" w:hAnsiTheme="minorEastAsia"/>
              <w:smallCaps/>
              <w:sz w:val="24"/>
              <w:szCs w:val="24"/>
            </w:rPr>
            <w:fldChar w:fldCharType="end"/>
          </w:r>
          <w:r>
            <w:rPr>
              <w:rFonts w:hint="eastAsia" w:asciiTheme="minorEastAsia" w:hAnsiTheme="minorEastAsia"/>
              <w:smallCaps/>
              <w:sz w:val="24"/>
              <w:szCs w:val="24"/>
              <w:lang w:val="en-US" w:eastAsia="zh-CN"/>
            </w:rPr>
            <w:t>7</w:t>
          </w:r>
        </w:p>
        <w:p>
          <w:pPr>
            <w:rPr>
              <w:rFonts w:ascii="仿宋_GB2312" w:eastAsia="仿宋_GB2312"/>
              <w:sz w:val="28"/>
              <w:szCs w:val="28"/>
            </w:rPr>
            <w:sectPr>
              <w:headerReference r:id="rId5" w:type="default"/>
              <w:footerReference r:id="rId6" w:type="default"/>
              <w:pgSz w:w="11906" w:h="16838"/>
              <w:pgMar w:top="1021" w:right="1021" w:bottom="1021" w:left="1134" w:header="680" w:footer="992" w:gutter="567"/>
              <w:pgNumType w:start="1"/>
              <w:cols w:space="425" w:num="1"/>
              <w:docGrid w:type="lines" w:linePitch="381" w:charSpace="0"/>
            </w:sectPr>
          </w:pPr>
          <w:r>
            <w:rPr>
              <w:rFonts w:asciiTheme="minorEastAsia" w:hAnsiTheme="minorEastAsia" w:cstheme="minorHAnsi"/>
              <w:sz w:val="24"/>
              <w:szCs w:val="24"/>
            </w:rPr>
            <w:fldChar w:fldCharType="end"/>
          </w:r>
        </w:p>
      </w:sdtContent>
    </w:sdt>
    <w:p>
      <w:pPr>
        <w:keepNext/>
        <w:keepLines/>
        <w:widowControl/>
        <w:spacing w:before="190" w:beforeLines="50" w:after="190" w:afterLines="50" w:line="500" w:lineRule="exact"/>
        <w:jc w:val="center"/>
        <w:outlineLvl w:val="0"/>
        <w:rPr>
          <w:rFonts w:hint="eastAsia" w:ascii="仿宋" w:hAnsi="仿宋" w:eastAsia="黑体"/>
          <w:b/>
          <w:bCs/>
          <w:kern w:val="44"/>
          <w:sz w:val="32"/>
          <w:szCs w:val="44"/>
          <w:lang w:val="zh-CN"/>
        </w:rPr>
      </w:pPr>
      <w:bookmarkStart w:id="0" w:name="_Toc409729712"/>
      <w:bookmarkEnd w:id="0"/>
      <w:bookmarkStart w:id="1" w:name="_Toc24597"/>
      <w:bookmarkEnd w:id="1"/>
      <w:bookmarkStart w:id="2" w:name="_Toc40343054"/>
      <w:bookmarkEnd w:id="2"/>
      <w:bookmarkStart w:id="3" w:name="_Toc40345194"/>
      <w:bookmarkEnd w:id="3"/>
      <w:bookmarkStart w:id="4" w:name="_Toc86244974"/>
      <w:bookmarkEnd w:id="4"/>
      <w:bookmarkStart w:id="5" w:name="_Toc410739580"/>
      <w:bookmarkEnd w:id="5"/>
      <w:bookmarkStart w:id="6" w:name="_Toc72316544"/>
      <w:bookmarkStart w:id="7" w:name="_Toc89266098"/>
      <w:bookmarkStart w:id="8" w:name="_Toc362360796"/>
      <w:r>
        <w:rPr>
          <w:rFonts w:hint="eastAsia" w:ascii="仿宋" w:hAnsi="仿宋" w:eastAsia="黑体"/>
          <w:b/>
          <w:bCs/>
          <w:kern w:val="44"/>
          <w:sz w:val="32"/>
          <w:szCs w:val="44"/>
          <w:lang w:val="zh-CN"/>
        </w:rPr>
        <w:t>序  言</w:t>
      </w:r>
      <w:bookmarkEnd w:id="6"/>
    </w:p>
    <w:p>
      <w:pPr>
        <w:widowControl/>
        <w:spacing w:line="360" w:lineRule="auto"/>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贯彻全国教育大会精神，进一步办好新时代职业教育，落实《中华人民共和国职业教育法》与《国家职业教育改革实施方案》，深化职业教育现代化与教育现代化，对接科技发展趋势和市场需求，完善职业教育和培训体系，优化学校、专业布局，深化中等职业学校办学体制改革和育人机制改革，以促进就业和适应产业发展需求为导向提高中等职业教育的人才培养质量，提升学校内涵建设是当前我国职业教育的首要任务。人才培养方案是学校人才培养的总体设计，是一个中职学校人才培养的指导思想和整体思路的系统反映，涉及中职学校人才培养的内容、途径、质量以及学校内涵建设总体规划。我校是国家教育部、人力资源社会保障部、财政部立项建设的第三批342所“国家中等职业教育改革发展示范学校”之一，为了培养适应区域经济社会发展的高素质高技能人才，根据教育部关于实施国家中等职业教育改革发展示范学校建设计划的意见【（教职成［2010］9号）文件】精神和2019年《国家职业教育改革实施方案》内容，对专业人才培养模式进行了探索与实践。</w:t>
      </w:r>
    </w:p>
    <w:p>
      <w:pPr>
        <w:widowControl/>
        <w:spacing w:line="360" w:lineRule="auto"/>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我校会计专业创办于1987年 ，是我校办学历史最悠久的专业之一，专业师资雄厚，教学团队治学严谨，专业实力过硬。本专业有优秀专兼职教师十余人，其中，四川省特级教师一人，中学高级教师五人，中教一级教师两人，市优秀班主任一人，青白江区十佳教学能手一人，区级骨干教师一人。我校会计专业以对口升学高考为主，主要为高等院校培养输送优秀生源。为社会培养具有良好的政治素质与道德修养，掌握会计基本理论和基本技能，具备熟练的会计核算、电算化操作以及财务管理专业技术人才。本专业有300余万元建成的会计综合实训室一个，ERP（沙盘模拟企业经营）实训室一个，会计实训机房数个。良好的实训条件和专业的设备为学生专业知识的学习、技能训练以及对口升学高考模拟训练提供了强有力的保障平台。本专业开办至今，已成功培养财经商贸类合格毕业生数千名，为高校输送优秀学生600余名。本专业先后有100余名学生在省、市各级技能大赛中获奖，其中省级二等奖三个，市级一等奖五个，市级二、三等奖若干。近年来，我专业本科上线人数连续三年位居全省前三。2020年更是创造了学校会计专业开办以来新的历史。真正实现了“技能+升学”的多元化发展，专业办学社会影响力强，深受家长和学生的喜爱。</w:t>
      </w:r>
    </w:p>
    <w:p>
      <w:pPr>
        <w:widowControl/>
        <w:spacing w:line="360" w:lineRule="auto"/>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由于编者水平有限，教学标准中的不足和错漏之处在所难免，敬请读者批评指正，我们将虚心吸取大家的意见和建议，不断完善本人才培养方案。</w:t>
      </w:r>
    </w:p>
    <w:p>
      <w:pPr>
        <w:widowControl/>
        <w:spacing w:line="360" w:lineRule="auto"/>
        <w:ind w:firstLine="560" w:firstLineChars="200"/>
        <w:jc w:val="righ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编  者</w:t>
      </w:r>
    </w:p>
    <w:p>
      <w:pPr>
        <w:widowControl/>
        <w:spacing w:line="360" w:lineRule="auto"/>
        <w:ind w:firstLine="560" w:firstLineChars="200"/>
        <w:jc w:val="righ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2022年6月（修订）</w:t>
      </w:r>
    </w:p>
    <w:bookmarkEnd w:id="7"/>
    <w:bookmarkEnd w:id="8"/>
    <w:p>
      <w:pPr>
        <w:widowControl/>
        <w:spacing w:line="360" w:lineRule="auto"/>
        <w:ind w:firstLine="560" w:firstLineChars="200"/>
        <w:jc w:val="right"/>
        <w:rPr>
          <w:rFonts w:ascii="仿宋_GB2312" w:hAnsi="宋体" w:eastAsia="仿宋_GB2312" w:cs="宋体"/>
          <w:kern w:val="0"/>
          <w:sz w:val="28"/>
          <w:szCs w:val="28"/>
        </w:rPr>
      </w:pPr>
    </w:p>
    <w:p>
      <w:pPr>
        <w:widowControl/>
        <w:spacing w:line="360" w:lineRule="auto"/>
        <w:ind w:firstLine="560" w:firstLineChars="200"/>
        <w:jc w:val="left"/>
        <w:rPr>
          <w:rFonts w:ascii="仿宋_GB2312" w:hAnsi="Times New Roman" w:eastAsia="仿宋_GB2312" w:cs="Times New Roman"/>
          <w:sz w:val="28"/>
          <w:szCs w:val="28"/>
        </w:rPr>
      </w:pPr>
      <w:r>
        <w:rPr>
          <w:rFonts w:hint="eastAsia" w:ascii="仿宋_GB2312" w:hAnsi="Times New Roman" w:eastAsia="仿宋_GB2312"/>
          <w:sz w:val="28"/>
          <w:szCs w:val="28"/>
        </w:rPr>
        <w:br w:type="page"/>
      </w:r>
    </w:p>
    <w:p>
      <w:pPr>
        <w:spacing w:before="190" w:beforeLines="50" w:after="190" w:afterLines="50" w:line="440" w:lineRule="exact"/>
        <w:jc w:val="center"/>
        <w:rPr>
          <w:rFonts w:ascii="仿宋" w:hAnsi="仿宋" w:eastAsia="仿宋_GB2312"/>
          <w:b/>
          <w:sz w:val="36"/>
          <w:szCs w:val="36"/>
        </w:rPr>
      </w:pPr>
      <w:r>
        <w:rPr>
          <w:rFonts w:hint="eastAsia" w:ascii="黑体" w:hAnsi="黑体" w:eastAsia="黑体"/>
          <w:b/>
          <w:sz w:val="36"/>
          <w:szCs w:val="36"/>
          <w:lang w:val="en-US" w:eastAsia="zh-CN"/>
        </w:rPr>
        <w:t>会计事务</w:t>
      </w:r>
      <w:r>
        <w:rPr>
          <w:rFonts w:hint="eastAsia" w:ascii="黑体" w:hAnsi="黑体" w:eastAsia="黑体"/>
          <w:b/>
          <w:sz w:val="36"/>
          <w:szCs w:val="36"/>
        </w:rPr>
        <w:t>专业人才培养方案</w:t>
      </w:r>
    </w:p>
    <w:p>
      <w:pPr>
        <w:keepNext/>
        <w:keepLines/>
        <w:widowControl/>
        <w:spacing w:before="190" w:beforeLines="50" w:after="190" w:afterLines="50" w:line="500" w:lineRule="exact"/>
        <w:jc w:val="left"/>
        <w:outlineLvl w:val="0"/>
        <w:rPr>
          <w:rFonts w:ascii="仿宋" w:hAnsi="仿宋" w:eastAsia="黑体"/>
          <w:b/>
          <w:bCs/>
          <w:kern w:val="44"/>
          <w:sz w:val="32"/>
          <w:szCs w:val="44"/>
        </w:rPr>
      </w:pPr>
      <w:bookmarkStart w:id="9" w:name="_Toc40345195"/>
      <w:bookmarkEnd w:id="9"/>
      <w:bookmarkStart w:id="10" w:name="_Toc4383"/>
      <w:bookmarkEnd w:id="10"/>
      <w:bookmarkStart w:id="11" w:name="_Toc86244975"/>
      <w:bookmarkEnd w:id="11"/>
      <w:bookmarkStart w:id="12" w:name="_Toc7386"/>
      <w:bookmarkEnd w:id="12"/>
      <w:bookmarkStart w:id="13" w:name="_Toc378022627"/>
      <w:bookmarkEnd w:id="13"/>
      <w:bookmarkStart w:id="14" w:name="_Toc40343055"/>
      <w:bookmarkStart w:id="15" w:name="_Toc89266099"/>
      <w:r>
        <w:rPr>
          <w:rFonts w:hint="eastAsia" w:ascii="仿宋" w:hAnsi="仿宋" w:eastAsia="黑体"/>
          <w:b/>
          <w:bCs/>
          <w:kern w:val="44"/>
          <w:sz w:val="32"/>
          <w:szCs w:val="44"/>
        </w:rPr>
        <w:t>一、专业名称</w:t>
      </w:r>
      <w:bookmarkEnd w:id="14"/>
      <w:r>
        <w:rPr>
          <w:rFonts w:hint="eastAsia" w:ascii="仿宋" w:hAnsi="仿宋" w:eastAsia="黑体"/>
          <w:b/>
          <w:bCs/>
          <w:kern w:val="44"/>
          <w:sz w:val="32"/>
          <w:szCs w:val="44"/>
        </w:rPr>
        <w:t>及代码</w:t>
      </w:r>
      <w:bookmarkEnd w:id="15"/>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专业名称：</w:t>
      </w:r>
      <w:r>
        <w:rPr>
          <w:rFonts w:hint="eastAsia" w:ascii="仿宋_GB2312" w:hAnsi="Calibri" w:eastAsia="仿宋_GB2312" w:cs="Times New Roman"/>
          <w:sz w:val="28"/>
          <w:szCs w:val="28"/>
          <w:lang w:val="en-US" w:eastAsia="zh-CN"/>
        </w:rPr>
        <w:t>会计事务</w:t>
      </w:r>
      <w:r>
        <w:rPr>
          <w:rFonts w:hint="eastAsia" w:ascii="仿宋_GB2312" w:hAnsi="Calibri" w:eastAsia="仿宋_GB2312" w:cs="Times New Roman"/>
          <w:sz w:val="28"/>
          <w:szCs w:val="28"/>
        </w:rPr>
        <w:t>专业</w:t>
      </w:r>
    </w:p>
    <w:p>
      <w:pPr>
        <w:spacing w:line="400" w:lineRule="exact"/>
        <w:ind w:firstLine="560" w:firstLineChars="200"/>
        <w:rPr>
          <w:rFonts w:hint="default" w:ascii="仿宋_GB2312" w:hAnsi="Calibri" w:eastAsia="仿宋_GB2312" w:cs="Times New Roman"/>
          <w:sz w:val="28"/>
          <w:szCs w:val="28"/>
          <w:lang w:val="en-US" w:eastAsia="zh-CN"/>
        </w:rPr>
      </w:pPr>
      <w:r>
        <w:rPr>
          <w:rFonts w:hint="eastAsia" w:ascii="仿宋_GB2312" w:hAnsi="Calibri" w:eastAsia="仿宋_GB2312" w:cs="Times New Roman"/>
          <w:sz w:val="28"/>
          <w:szCs w:val="28"/>
        </w:rPr>
        <w:t>专业代码：</w:t>
      </w:r>
      <w:r>
        <w:rPr>
          <w:rFonts w:hint="eastAsia" w:ascii="仿宋_GB2312" w:hAnsi="Calibri" w:eastAsia="仿宋_GB2312" w:cs="Times New Roman"/>
          <w:sz w:val="28"/>
          <w:szCs w:val="28"/>
          <w:lang w:val="en-US" w:eastAsia="zh-CN"/>
        </w:rPr>
        <w:t>730301</w:t>
      </w:r>
    </w:p>
    <w:p>
      <w:pPr>
        <w:keepNext/>
        <w:keepLines/>
        <w:widowControl/>
        <w:spacing w:before="190" w:beforeLines="50" w:after="190" w:afterLines="50" w:line="500" w:lineRule="exact"/>
        <w:jc w:val="left"/>
        <w:outlineLvl w:val="0"/>
        <w:rPr>
          <w:rFonts w:ascii="仿宋" w:hAnsi="仿宋" w:eastAsia="黑体"/>
          <w:b/>
          <w:bCs/>
          <w:kern w:val="44"/>
          <w:sz w:val="32"/>
          <w:szCs w:val="44"/>
        </w:rPr>
      </w:pPr>
      <w:bookmarkStart w:id="16" w:name="_Toc30545"/>
      <w:bookmarkEnd w:id="16"/>
      <w:bookmarkStart w:id="17" w:name="_Toc86244976"/>
      <w:bookmarkEnd w:id="17"/>
      <w:bookmarkStart w:id="18" w:name="_Toc40343056"/>
      <w:bookmarkEnd w:id="18"/>
      <w:bookmarkStart w:id="19" w:name="_Toc27617"/>
      <w:bookmarkEnd w:id="19"/>
      <w:bookmarkStart w:id="20" w:name="_Toc378022628"/>
      <w:bookmarkEnd w:id="20"/>
      <w:bookmarkStart w:id="21" w:name="_Toc40345196"/>
      <w:bookmarkStart w:id="22" w:name="_Toc89266100"/>
      <w:r>
        <w:rPr>
          <w:rFonts w:hint="eastAsia" w:ascii="仿宋" w:hAnsi="仿宋" w:eastAsia="黑体"/>
          <w:b/>
          <w:bCs/>
          <w:kern w:val="44"/>
          <w:sz w:val="32"/>
          <w:szCs w:val="44"/>
        </w:rPr>
        <w:t>二、</w:t>
      </w:r>
      <w:bookmarkEnd w:id="21"/>
      <w:r>
        <w:rPr>
          <w:rFonts w:hint="eastAsia" w:ascii="仿宋" w:hAnsi="仿宋" w:eastAsia="黑体"/>
          <w:b/>
          <w:bCs/>
          <w:kern w:val="44"/>
          <w:sz w:val="32"/>
          <w:szCs w:val="44"/>
        </w:rPr>
        <w:t>入学要求</w:t>
      </w:r>
      <w:bookmarkEnd w:id="22"/>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初中应往届毕业生或具有同等学历者</w:t>
      </w:r>
    </w:p>
    <w:p>
      <w:pPr>
        <w:keepNext/>
        <w:keepLines/>
        <w:widowControl/>
        <w:spacing w:before="190" w:beforeLines="50" w:after="190" w:afterLines="50" w:line="500" w:lineRule="exact"/>
        <w:jc w:val="left"/>
        <w:outlineLvl w:val="0"/>
        <w:rPr>
          <w:rFonts w:ascii="仿宋" w:hAnsi="仿宋" w:eastAsia="黑体"/>
          <w:b/>
          <w:bCs/>
          <w:kern w:val="44"/>
          <w:sz w:val="32"/>
          <w:szCs w:val="44"/>
        </w:rPr>
      </w:pPr>
      <w:bookmarkStart w:id="23" w:name="_Toc378022629"/>
      <w:bookmarkEnd w:id="23"/>
      <w:bookmarkStart w:id="24" w:name="_Toc27368"/>
      <w:bookmarkEnd w:id="24"/>
      <w:bookmarkStart w:id="25" w:name="_Toc40343057"/>
      <w:bookmarkEnd w:id="25"/>
      <w:bookmarkStart w:id="26" w:name="_Toc40345197"/>
      <w:bookmarkEnd w:id="26"/>
      <w:bookmarkStart w:id="27" w:name="_Toc30249"/>
      <w:bookmarkEnd w:id="27"/>
      <w:bookmarkStart w:id="28" w:name="_Toc86244977"/>
      <w:bookmarkStart w:id="29" w:name="_Toc89266101"/>
      <w:r>
        <w:rPr>
          <w:rFonts w:hint="eastAsia" w:ascii="仿宋" w:hAnsi="仿宋" w:eastAsia="黑体"/>
          <w:b/>
          <w:bCs/>
          <w:kern w:val="44"/>
          <w:sz w:val="32"/>
          <w:szCs w:val="44"/>
        </w:rPr>
        <w:t>三、</w:t>
      </w:r>
      <w:bookmarkEnd w:id="28"/>
      <w:r>
        <w:rPr>
          <w:rFonts w:hint="eastAsia" w:ascii="仿宋" w:hAnsi="仿宋" w:eastAsia="黑体"/>
          <w:b/>
          <w:bCs/>
          <w:kern w:val="44"/>
          <w:sz w:val="32"/>
          <w:szCs w:val="44"/>
        </w:rPr>
        <w:t>修业年限</w:t>
      </w:r>
      <w:bookmarkEnd w:id="29"/>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学制：标准学制为三年</w:t>
      </w:r>
    </w:p>
    <w:p>
      <w:pPr>
        <w:keepNext/>
        <w:keepLines/>
        <w:widowControl/>
        <w:numPr>
          <w:ilvl w:val="0"/>
          <w:numId w:val="1"/>
        </w:numPr>
        <w:spacing w:before="190" w:beforeLines="50" w:after="190" w:afterLines="50" w:line="500" w:lineRule="exact"/>
        <w:jc w:val="left"/>
        <w:outlineLvl w:val="0"/>
        <w:rPr>
          <w:rFonts w:hint="eastAsia" w:ascii="仿宋" w:hAnsi="仿宋" w:eastAsia="黑体"/>
          <w:b/>
          <w:bCs/>
          <w:kern w:val="44"/>
          <w:sz w:val="32"/>
          <w:szCs w:val="44"/>
        </w:rPr>
      </w:pPr>
      <w:bookmarkStart w:id="30" w:name="_Toc86244978"/>
      <w:bookmarkEnd w:id="30"/>
      <w:bookmarkStart w:id="31" w:name="_Toc40345198"/>
      <w:bookmarkEnd w:id="31"/>
      <w:bookmarkStart w:id="32" w:name="_Toc40343058"/>
      <w:bookmarkEnd w:id="32"/>
      <w:bookmarkStart w:id="33" w:name="_Toc29983"/>
      <w:bookmarkStart w:id="34" w:name="_Toc89266102"/>
      <w:r>
        <w:rPr>
          <w:rFonts w:hint="eastAsia" w:ascii="仿宋" w:hAnsi="仿宋" w:eastAsia="黑体"/>
          <w:b/>
          <w:bCs/>
          <w:kern w:val="44"/>
          <w:sz w:val="32"/>
          <w:szCs w:val="44"/>
        </w:rPr>
        <w:t>职业面向</w:t>
      </w:r>
      <w:bookmarkEnd w:id="33"/>
      <w:bookmarkEnd w:id="34"/>
    </w:p>
    <w:tbl>
      <w:tblPr>
        <w:tblStyle w:val="23"/>
        <w:tblW w:w="94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24"/>
        <w:gridCol w:w="1013"/>
        <w:gridCol w:w="2964"/>
        <w:gridCol w:w="46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blHeader/>
          <w:jc w:val="center"/>
        </w:trPr>
        <w:tc>
          <w:tcPr>
            <w:tcW w:w="724" w:type="dxa"/>
            <w:shd w:val="clear" w:color="auto" w:fill="auto"/>
            <w:vAlign w:val="center"/>
          </w:tcPr>
          <w:p>
            <w:pPr>
              <w:widowControl/>
              <w:spacing w:line="36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序</w:t>
            </w:r>
          </w:p>
          <w:p>
            <w:pPr>
              <w:widowControl/>
              <w:spacing w:line="36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号</w:t>
            </w:r>
          </w:p>
        </w:tc>
        <w:tc>
          <w:tcPr>
            <w:tcW w:w="1013" w:type="dxa"/>
            <w:shd w:val="clear" w:color="auto" w:fill="auto"/>
            <w:vAlign w:val="center"/>
          </w:tcPr>
          <w:p>
            <w:pPr>
              <w:widowControl/>
              <w:spacing w:line="36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相关工作岗位</w:t>
            </w:r>
          </w:p>
        </w:tc>
        <w:tc>
          <w:tcPr>
            <w:tcW w:w="2964" w:type="dxa"/>
            <w:shd w:val="clear" w:color="auto" w:fill="auto"/>
            <w:vAlign w:val="center"/>
          </w:tcPr>
          <w:p>
            <w:pPr>
              <w:widowControl/>
              <w:spacing w:line="36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岗位描述</w:t>
            </w:r>
          </w:p>
        </w:tc>
        <w:tc>
          <w:tcPr>
            <w:tcW w:w="4699" w:type="dxa"/>
            <w:shd w:val="clear" w:color="auto" w:fill="auto"/>
            <w:vAlign w:val="center"/>
          </w:tcPr>
          <w:p>
            <w:pPr>
              <w:widowControl/>
              <w:spacing w:line="360" w:lineRule="exact"/>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职业能力要求及素质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5" w:hRule="atLeast"/>
          <w:jc w:val="center"/>
        </w:trPr>
        <w:tc>
          <w:tcPr>
            <w:tcW w:w="724"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1</w:t>
            </w:r>
          </w:p>
        </w:tc>
        <w:tc>
          <w:tcPr>
            <w:tcW w:w="1013"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出纳</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人员</w:t>
            </w:r>
          </w:p>
        </w:tc>
        <w:tc>
          <w:tcPr>
            <w:tcW w:w="2964"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1.负责登记现金日记账、银行存款日记账的工作,做到日清月结。</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2.负责保管现金、有价证券、空白支票及银行印鉴卡等有关资料。</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3.负责管理银行账户,办理银行结算业务,月终及时对账,并根据需要编制银行存款余额调节表。</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4.负责统一管理管理处的发票和收据,做好各下属部门领用和核销工作。</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5.加强货币资金的管理,严格执行国家有关现金管理和银行账户管理法规制度,不得挪用公款,不得出借公司账目。</w:t>
            </w:r>
          </w:p>
        </w:tc>
        <w:tc>
          <w:tcPr>
            <w:tcW w:w="4699"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1-1熟悉公司的业务；</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1-2熟练掌握会计专业专业知识和专业技能；</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1-3熟悉国家有关法律、法规、规章和国家统一会计制度；</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1-4遵守职业道德，要遵纪守法，严格监督，并且以身作则；要洁身自好，不贪、不占公家便宜；要实事求是，真实客观地反映经济活动的本来面目；要注意保守机密；要竭力为本单位的中心工作、为单位的总体利益、为全体员工服务。</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1-5热爱出纳工作，严谨细致的工作作风和职业习惯。；</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1-6出纳人员要有很强的数字运算能力,不管用计算机、算盘、计算器，还是别的什么运算器，都必须具备较快的速度和非常高的准确性。</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1-7具有良好的人际沟通能力。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6" w:hRule="atLeast"/>
          <w:jc w:val="center"/>
        </w:trPr>
        <w:tc>
          <w:tcPr>
            <w:tcW w:w="724"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2</w:t>
            </w:r>
          </w:p>
        </w:tc>
        <w:tc>
          <w:tcPr>
            <w:tcW w:w="1013"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会计</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助理</w:t>
            </w:r>
          </w:p>
        </w:tc>
        <w:tc>
          <w:tcPr>
            <w:tcW w:w="2964"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1、协助主管完成日常事务性工作，协助处理账务；</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2、申请票据、购、准备和报送会计报表，协助办理税务报表的申报；</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3、现金及银行收付处理，制作记账凭证，银行对账，单据审核，开具与保管发票；</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4、认真核对并确认客户的每一笔回款，做好客户回款的审核确认工作，每月提供上月客户回款计划执行情况及本月回款计划统计表，每月向部门主管领导报送一份应收账款分析明细表；</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5、日常费用的核对日常费用分析</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6、同其他部门财务问题沟通</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7、协助财会文件的准备、归档和保管；</w:t>
            </w:r>
          </w:p>
          <w:p>
            <w:pPr>
              <w:widowControl/>
              <w:spacing w:line="360" w:lineRule="exact"/>
              <w:rPr>
                <w:rFonts w:ascii="仿宋_GB2312" w:hAnsi="新宋体" w:eastAsia="仿宋_GB2312" w:cs="宋体"/>
                <w:kern w:val="0"/>
                <w:sz w:val="24"/>
                <w:szCs w:val="24"/>
              </w:rPr>
            </w:pPr>
          </w:p>
        </w:tc>
        <w:tc>
          <w:tcPr>
            <w:tcW w:w="4699"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2-1熟悉会计操作、会计核算流程；</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2-2具备财务筹划技能后，可以成为会计经理；</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2-3具备一定的财务管理能力和实际操作能力;</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2-4可以发展成为财务分析师、预算分析师、核算专员，进而发展成为财务分析经理、预算经理、财务成本控制经理或者财务经理；</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2-5熟悉所处行业和企业的业务管理状况;</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2-6可以向审计方向发展，成为审计专员，进而向审计经理发展，也可以转而从事统计工作，成为统计经理。</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2-7具备良好的职业道德素养.</w:t>
            </w:r>
          </w:p>
          <w:p>
            <w:pPr>
              <w:widowControl/>
              <w:spacing w:line="360" w:lineRule="exact"/>
              <w:rPr>
                <w:rFonts w:ascii="仿宋_GB2312" w:hAnsi="新宋体" w:eastAsia="仿宋_GB2312" w:cs="宋体"/>
                <w:kern w:val="0"/>
                <w:sz w:val="24"/>
                <w:szCs w:val="24"/>
              </w:rPr>
            </w:pP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 xml:space="preserve"> </w:t>
            </w:r>
          </w:p>
          <w:p>
            <w:pPr>
              <w:widowControl/>
              <w:spacing w:line="360" w:lineRule="exact"/>
              <w:rPr>
                <w:rFonts w:ascii="仿宋_GB2312" w:hAnsi="新宋体" w:eastAsia="仿宋_GB2312" w:cs="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25" w:hRule="atLeast"/>
          <w:jc w:val="center"/>
        </w:trPr>
        <w:tc>
          <w:tcPr>
            <w:tcW w:w="724"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3</w:t>
            </w:r>
          </w:p>
        </w:tc>
        <w:tc>
          <w:tcPr>
            <w:tcW w:w="1013"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会计员</w:t>
            </w:r>
          </w:p>
        </w:tc>
        <w:tc>
          <w:tcPr>
            <w:tcW w:w="2964"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1、协助拟订公司各项会计制度，优化会计核算及运行体系；</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2、会计核算及运行体系分析、设计和优化</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3、规范会计基础工作，经常深入基层督查指导</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4、组织会计电算化的检查和指导</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5、会计核算和会计报表工作</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6、其他日常工作</w:t>
            </w:r>
          </w:p>
        </w:tc>
        <w:tc>
          <w:tcPr>
            <w:tcW w:w="4699" w:type="dxa"/>
            <w:shd w:val="clear" w:color="auto" w:fill="auto"/>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3-1敬业爱岗。会计人员应当热爱本职工作，努力钻研业务，使自己的知识和技能适应所从事工作的要求。</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3-2会计人员应当熟悉财经法律、法规；国家统一会计制度和本单位有关规定 。</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3-3会计人员应当按照会计制度规定的程序和要求进行会计工作，保证提供的会计信息合法、真实、准确、及时、完整。</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3-4客观公正。会计人员在办理会计事务中，应当实事求是，客观公正。</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3-5搞好服务。会计人员应当尽其所能，为改善单位的内部管理、提高经济效益服务。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33" w:hRule="atLeast"/>
          <w:jc w:val="center"/>
        </w:trPr>
        <w:tc>
          <w:tcPr>
            <w:tcW w:w="724"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4</w:t>
            </w:r>
          </w:p>
        </w:tc>
        <w:tc>
          <w:tcPr>
            <w:tcW w:w="1013"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财务统计人员</w:t>
            </w:r>
          </w:p>
        </w:tc>
        <w:tc>
          <w:tcPr>
            <w:tcW w:w="2964"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1、配合财务部统计，审计公司各项数据，负责公司物资进出管理，并提供有效的报表；</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2、按时登记台账、做到台账齐全，账账相符；</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3、及时为领导及客户提供所需统计资料；</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4、负责汇总统计月报、季报和年报的工作，并按要求及进上报各项报表和数据，做到完全、完整；</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5、配合公司财务部相关人员工作。</w:t>
            </w:r>
          </w:p>
        </w:tc>
        <w:tc>
          <w:tcPr>
            <w:tcW w:w="4699" w:type="dxa"/>
            <w:shd w:val="clear" w:color="auto" w:fill="auto"/>
            <w:vAlign w:val="center"/>
          </w:tcPr>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4-1熟悉会计操作、会计核算流程；</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4-2应当坚持实事求是，不出假数；</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4-3应当依法统计、严守秘密是做好财务统计人员工作的基本理念</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4-4有较好的财务管理能力和实际操作能力；</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4-5 具备公平公正、促进社会和谐的普遍要求，也是财务统计人员工作规范运作的客观保证</w:t>
            </w:r>
          </w:p>
          <w:p>
            <w:pPr>
              <w:widowControl/>
              <w:spacing w:line="360" w:lineRule="exact"/>
              <w:rPr>
                <w:rFonts w:ascii="仿宋_GB2312" w:hAnsi="新宋体" w:eastAsia="仿宋_GB2312" w:cs="宋体"/>
                <w:kern w:val="0"/>
                <w:sz w:val="24"/>
                <w:szCs w:val="24"/>
              </w:rPr>
            </w:pPr>
            <w:r>
              <w:rPr>
                <w:rFonts w:hint="eastAsia" w:ascii="仿宋_GB2312" w:hAnsi="新宋体" w:eastAsia="仿宋_GB2312" w:cs="宋体"/>
                <w:kern w:val="0"/>
                <w:sz w:val="24"/>
                <w:szCs w:val="24"/>
              </w:rPr>
              <w:t>4-6具有较好的服务意思和责任感；</w:t>
            </w:r>
          </w:p>
        </w:tc>
      </w:tr>
    </w:tbl>
    <w:p>
      <w:pPr>
        <w:keepNext/>
        <w:keepLines/>
        <w:widowControl/>
        <w:spacing w:before="190" w:beforeLines="50" w:after="190" w:afterLines="50" w:line="500" w:lineRule="exact"/>
        <w:jc w:val="left"/>
        <w:outlineLvl w:val="0"/>
        <w:rPr>
          <w:rFonts w:ascii="仿宋" w:hAnsi="仿宋" w:eastAsia="黑体"/>
          <w:b/>
          <w:bCs/>
          <w:kern w:val="44"/>
          <w:sz w:val="32"/>
          <w:szCs w:val="44"/>
        </w:rPr>
      </w:pPr>
      <w:bookmarkStart w:id="35" w:name="_Toc23586"/>
      <w:bookmarkEnd w:id="35"/>
      <w:bookmarkStart w:id="36" w:name="_Toc362360807"/>
      <w:bookmarkEnd w:id="36"/>
      <w:bookmarkStart w:id="37" w:name="_Toc86244979"/>
      <w:bookmarkEnd w:id="37"/>
      <w:bookmarkStart w:id="38" w:name="_Toc409525581"/>
      <w:bookmarkEnd w:id="38"/>
      <w:bookmarkStart w:id="39" w:name="_Toc89266103"/>
      <w:bookmarkStart w:id="40" w:name="_Toc378022646"/>
      <w:r>
        <w:rPr>
          <w:rFonts w:hint="eastAsia" w:ascii="仿宋" w:hAnsi="仿宋" w:eastAsia="黑体"/>
          <w:b/>
          <w:bCs/>
          <w:kern w:val="44"/>
          <w:sz w:val="32"/>
          <w:szCs w:val="44"/>
        </w:rPr>
        <w:t>五、培养目标与培养规格</w:t>
      </w:r>
      <w:bookmarkEnd w:id="39"/>
      <w:bookmarkEnd w:id="40"/>
    </w:p>
    <w:p>
      <w:pPr>
        <w:keepNext/>
        <w:keepLines/>
        <w:widowControl/>
        <w:spacing w:before="190" w:beforeLines="50" w:after="190" w:afterLines="50" w:line="500" w:lineRule="exact"/>
        <w:jc w:val="left"/>
        <w:outlineLvl w:val="1"/>
        <w:rPr>
          <w:rFonts w:ascii="仿宋" w:hAnsi="仿宋" w:eastAsia="黑体" w:cstheme="majorBidi"/>
          <w:b/>
          <w:bCs/>
          <w:sz w:val="30"/>
          <w:szCs w:val="32"/>
        </w:rPr>
      </w:pPr>
      <w:bookmarkStart w:id="41" w:name="_Toc86244980"/>
      <w:bookmarkEnd w:id="41"/>
      <w:bookmarkStart w:id="42" w:name="_Toc40343060"/>
      <w:bookmarkEnd w:id="42"/>
      <w:bookmarkStart w:id="43" w:name="_Toc40345200"/>
      <w:bookmarkEnd w:id="43"/>
      <w:bookmarkStart w:id="44" w:name="_Toc89266104"/>
      <w:bookmarkStart w:id="45" w:name="_Toc23668"/>
      <w:r>
        <w:rPr>
          <w:rFonts w:hint="eastAsia" w:ascii="仿宋" w:hAnsi="仿宋" w:eastAsia="黑体" w:cstheme="majorBidi"/>
          <w:b/>
          <w:bCs/>
          <w:sz w:val="30"/>
          <w:szCs w:val="32"/>
        </w:rPr>
        <w:t>（一）培养目标</w:t>
      </w:r>
      <w:bookmarkEnd w:id="44"/>
      <w:bookmarkEnd w:id="45"/>
    </w:p>
    <w:p>
      <w:pPr>
        <w:widowControl/>
        <w:spacing w:line="440" w:lineRule="exact"/>
        <w:ind w:firstLine="560" w:firstLineChars="200"/>
        <w:rPr>
          <w:rFonts w:ascii="仿宋_GB2312" w:hAnsi="新宋体" w:eastAsia="仿宋_GB2312" w:cs="宋体"/>
          <w:kern w:val="0"/>
          <w:sz w:val="24"/>
          <w:szCs w:val="24"/>
        </w:rPr>
      </w:pPr>
      <w:r>
        <w:rPr>
          <w:rFonts w:hint="eastAsia" w:ascii="仿宋_GB2312" w:eastAsia="仿宋_GB2312"/>
          <w:sz w:val="28"/>
          <w:szCs w:val="28"/>
        </w:rPr>
        <w:t>本专业主要面向社会各行各业，机关事业单位，坚持以立德树人、为教育根本，培养适应区域经济发展和行业变化需求的德、智、体、美、劳全面发展，具有良好职业道德和职业素养，适应会计行业发展需要、掌握会计技术理论和应用技术、具备会计做账、算账、报账能力，能够从事会计岗位工作的高素质劳动者和技能型人才。</w:t>
      </w:r>
      <w:r>
        <w:rPr>
          <w:rFonts w:hint="eastAsia" w:ascii="仿宋_GB2312" w:hAnsi="新宋体" w:eastAsia="仿宋_GB2312" w:cs="宋体"/>
          <w:kern w:val="0"/>
          <w:sz w:val="24"/>
          <w:szCs w:val="24"/>
        </w:rPr>
        <w:t xml:space="preserve"> </w:t>
      </w:r>
    </w:p>
    <w:p>
      <w:pPr>
        <w:keepNext/>
        <w:keepLines/>
        <w:widowControl/>
        <w:spacing w:before="190" w:beforeLines="50" w:after="190" w:afterLines="50" w:line="500" w:lineRule="exact"/>
        <w:jc w:val="left"/>
        <w:outlineLvl w:val="1"/>
        <w:rPr>
          <w:rFonts w:ascii="仿宋" w:hAnsi="仿宋" w:eastAsia="黑体" w:cstheme="majorBidi"/>
          <w:b/>
          <w:bCs/>
          <w:sz w:val="30"/>
          <w:szCs w:val="32"/>
        </w:rPr>
      </w:pPr>
      <w:bookmarkStart w:id="46" w:name="_Toc40345201"/>
      <w:bookmarkEnd w:id="46"/>
      <w:bookmarkStart w:id="47" w:name="_Toc86244981"/>
      <w:bookmarkEnd w:id="47"/>
      <w:bookmarkStart w:id="48" w:name="_Toc40343061"/>
      <w:bookmarkEnd w:id="48"/>
      <w:bookmarkStart w:id="49" w:name="_Toc20677"/>
      <w:bookmarkStart w:id="50" w:name="_Toc89266105"/>
      <w:r>
        <w:rPr>
          <w:rFonts w:hint="eastAsia" w:ascii="仿宋" w:hAnsi="仿宋" w:eastAsia="黑体" w:cstheme="majorBidi"/>
          <w:b/>
          <w:bCs/>
          <w:sz w:val="30"/>
          <w:szCs w:val="32"/>
        </w:rPr>
        <w:t>（二）培养规格</w:t>
      </w:r>
      <w:bookmarkEnd w:id="49"/>
      <w:bookmarkEnd w:id="50"/>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本专业所培养的人才应具有以下专业（知识、技能）能力与非专业（职业素养、方法、社会）能力。</w:t>
      </w:r>
    </w:p>
    <w:p>
      <w:pPr>
        <w:keepNext/>
        <w:keepLines/>
        <w:widowControl/>
        <w:numPr>
          <w:ilvl w:val="0"/>
          <w:numId w:val="2"/>
        </w:numPr>
        <w:spacing w:before="190" w:beforeLines="50" w:after="190" w:afterLines="50" w:line="500" w:lineRule="exact"/>
        <w:jc w:val="left"/>
        <w:outlineLvl w:val="2"/>
        <w:rPr>
          <w:rFonts w:hint="eastAsia" w:ascii="仿宋" w:hAnsi="仿宋" w:eastAsia="黑体"/>
          <w:b/>
          <w:bCs/>
          <w:sz w:val="30"/>
          <w:szCs w:val="32"/>
        </w:rPr>
      </w:pPr>
      <w:bookmarkStart w:id="51" w:name="_Toc40345202"/>
      <w:bookmarkEnd w:id="51"/>
      <w:bookmarkStart w:id="52" w:name="_Toc409533712"/>
      <w:bookmarkEnd w:id="52"/>
      <w:bookmarkStart w:id="53" w:name="_Toc40343062"/>
      <w:bookmarkEnd w:id="53"/>
      <w:bookmarkStart w:id="54" w:name="_Toc441587077"/>
      <w:bookmarkEnd w:id="54"/>
      <w:bookmarkStart w:id="55" w:name="_Toc5131"/>
      <w:bookmarkEnd w:id="55"/>
      <w:r>
        <w:rPr>
          <w:rFonts w:hint="eastAsia" w:ascii="仿宋" w:hAnsi="仿宋" w:eastAsia="黑体"/>
          <w:b/>
          <w:bCs/>
          <w:sz w:val="30"/>
          <w:szCs w:val="32"/>
        </w:rPr>
        <w:t>知识学习能力</w:t>
      </w:r>
    </w:p>
    <w:p>
      <w:pPr>
        <w:widowControl/>
        <w:spacing w:line="440" w:lineRule="exact"/>
        <w:ind w:firstLine="560" w:firstLineChars="200"/>
        <w:rPr>
          <w:rFonts w:ascii="仿宋_GB2312" w:eastAsia="仿宋_GB2312"/>
          <w:sz w:val="28"/>
          <w:szCs w:val="28"/>
        </w:rPr>
      </w:pPr>
      <w:bookmarkStart w:id="56" w:name="_Toc409533713"/>
      <w:bookmarkEnd w:id="56"/>
      <w:bookmarkStart w:id="57" w:name="_Toc441587078"/>
      <w:bookmarkEnd w:id="57"/>
      <w:bookmarkStart w:id="58" w:name="_Toc409525580"/>
      <w:r>
        <w:rPr>
          <w:rFonts w:hint="eastAsia" w:ascii="仿宋_GB2312" w:hAnsi="Calibri" w:eastAsia="仿宋_GB2312" w:cs="Times New Roman"/>
          <w:sz w:val="28"/>
          <w:szCs w:val="28"/>
        </w:rPr>
        <w:t>（1）以“诚信”为本，热爱祖国，遵守财经法规，具备经济、管理、财会</w:t>
      </w:r>
      <w:r>
        <w:rPr>
          <w:rFonts w:hint="eastAsia" w:ascii="仿宋_GB2312" w:eastAsia="仿宋_GB2312"/>
          <w:sz w:val="28"/>
          <w:szCs w:val="28"/>
        </w:rPr>
        <w:t>等方面的专业基础知识；</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（2）能够了解并掌握相关会计法律法规、行业政策法规等内容；</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（3）具备熟练使用计算机和算盘等工具进行实务操作能力；</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（4）具备基本的会计专业基本理论和操作技能；</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（5）具备职业判断能力；</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（6）强化职业道德意识；</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（7）具备财务基础知识和专业知识的学习能力；</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（8）具备全局意识，发展意识、创新理念。</w:t>
      </w:r>
    </w:p>
    <w:bookmarkEnd w:id="58"/>
    <w:p>
      <w:pPr>
        <w:keepNext/>
        <w:keepLines/>
        <w:widowControl/>
        <w:spacing w:before="190" w:beforeLines="50" w:after="190" w:afterLines="50" w:line="500" w:lineRule="exact"/>
        <w:jc w:val="left"/>
        <w:outlineLvl w:val="2"/>
        <w:rPr>
          <w:rFonts w:ascii="仿宋" w:hAnsi="仿宋" w:eastAsia="黑体"/>
          <w:b/>
          <w:bCs/>
          <w:sz w:val="30"/>
          <w:szCs w:val="32"/>
        </w:rPr>
      </w:pPr>
      <w:bookmarkStart w:id="59" w:name="_Toc40343063"/>
      <w:bookmarkEnd w:id="59"/>
      <w:bookmarkStart w:id="60" w:name="_Toc40345203"/>
      <w:bookmarkEnd w:id="60"/>
      <w:bookmarkStart w:id="61" w:name="_Toc11513"/>
      <w:r>
        <w:rPr>
          <w:rFonts w:hint="eastAsia" w:ascii="仿宋" w:hAnsi="仿宋" w:eastAsia="黑体"/>
          <w:b/>
          <w:bCs/>
          <w:sz w:val="30"/>
          <w:szCs w:val="32"/>
        </w:rPr>
        <w:t>2、技能学习能力</w:t>
      </w:r>
      <w:bookmarkEnd w:id="61"/>
    </w:p>
    <w:p>
      <w:pPr>
        <w:spacing w:line="400" w:lineRule="exact"/>
        <w:ind w:firstLine="560" w:firstLineChars="200"/>
        <w:rPr>
          <w:rFonts w:hint="eastAsia" w:ascii="仿宋_GB2312" w:hAnsi="Calibri" w:eastAsia="仿宋_GB2312" w:cs="Times New Roman"/>
          <w:sz w:val="28"/>
          <w:szCs w:val="28"/>
        </w:rPr>
      </w:pPr>
      <w:bookmarkStart w:id="62" w:name="_Toc40345204"/>
      <w:bookmarkEnd w:id="62"/>
      <w:bookmarkStart w:id="63" w:name="_Toc40343064"/>
      <w:bookmarkEnd w:id="63"/>
      <w:bookmarkStart w:id="64" w:name="_Toc12186"/>
      <w:bookmarkEnd w:id="64"/>
      <w:r>
        <w:rPr>
          <w:rFonts w:hint="eastAsia" w:ascii="仿宋_GB2312" w:hAnsi="Calibri" w:eastAsia="仿宋_GB2312" w:cs="Times New Roman"/>
          <w:sz w:val="28"/>
          <w:szCs w:val="28"/>
        </w:rPr>
        <w:t>（1）掌握本专业必需的文化基础知识；</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（2）准确识别原始凭证真实性、合法性；能独立完成采购、生产和销售业务凭证编制以及对应日记账、明细账、总账的登记；熟悉登记各类账簿的要求以及会计账务处理的程序。</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3）按照经济业务处理的要求对货币资金、应收款项、存货、金融资产、长期股权投资、固定资产、无形资产等资产类要素进行核算，达到准确完成各类会计要素核算的要求。熟悉应付款项、金融负债、应付债券等负债类要素的核算方法；熟悉实收资本、股本、资本公积、留存收益等权益类要素的核算方法；熟悉主营业务收人、主营业务成本、其他业务收人、其他业务成本、投资收益、公允价值变动损益、资产减值损失、营业外收入和支出等损益类要素的核算方法。</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（4）熟悉各类报表的编制方法，准确完成资产负债表、利润表、所有者权益变动表的编制，达到熟练编制企业会计报表的要求。</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（5）具有经济数据的收集、整理的能力；经济数据的图表制作能力； </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6）熟悉办理税务登记事务的基础知识及增值税、营业税、企业所得税、个人所得税等税种的计算方法和纳税申报程序。具备办理增值税会计核算、营业税会计核算、企业所得税会计核算、个人所得税会计核算、其他税种会计核算的税务知识。</w:t>
      </w:r>
    </w:p>
    <w:p>
      <w:pPr>
        <w:keepNext/>
        <w:keepLines/>
        <w:widowControl/>
        <w:spacing w:before="190" w:beforeLines="50" w:after="190" w:afterLines="50" w:line="500" w:lineRule="exact"/>
        <w:jc w:val="left"/>
        <w:outlineLvl w:val="2"/>
        <w:rPr>
          <w:rFonts w:ascii="仿宋" w:hAnsi="仿宋" w:eastAsia="黑体"/>
          <w:b/>
          <w:bCs/>
          <w:sz w:val="30"/>
          <w:szCs w:val="32"/>
        </w:rPr>
      </w:pPr>
      <w:r>
        <w:rPr>
          <w:rFonts w:hint="eastAsia" w:ascii="仿宋" w:hAnsi="仿宋" w:eastAsia="黑体"/>
          <w:b/>
          <w:bCs/>
          <w:sz w:val="30"/>
          <w:szCs w:val="32"/>
        </w:rPr>
        <w:t>3、职业素养</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（1）行业通用能力： </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①具备流畅的口头表达；撰写常见财经应用文和一般信函；财经情报资料检索；阅读理解财经制度文件等；  </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②会手工及机器点钞、真假币鉴别，会使用点钞机、验钞机、POS机，能正确使用保险柜；会使用具有会计数字的填写、珠算加减法的基本技能；  </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③能对原始凭证进行填制、审核，记账凭证的编制、审核，日记账的登记、审核，银行对账单及银行存款余额调节表的填制；；</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④会计算机基本操作，熟练把握“现金收讫”、“现金付讫”和“营业专用印章”的使用和认证，现金支票及转账支票的领用、管理及签发，一式多联票据的填写，账簿的启用及结转会计凭证的装订；  </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⑤掌握对增值税专用发票的申购、识别。  </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⑥熟练掌握办公软件，能够有效进行数据的处理与分析以及文档处理等技能。</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（2）跨行业职业能力：  </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①具有适应岗位变化的能力；  </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②具有企业管理及生产现场管理的基础能力；  </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③具有创新和创业的基础能力。</w:t>
      </w:r>
    </w:p>
    <w:p>
      <w:pPr>
        <w:widowControl/>
        <w:spacing w:line="440" w:lineRule="exact"/>
        <w:rPr>
          <w:rFonts w:ascii="仿宋_GB2312" w:eastAsia="仿宋_GB2312"/>
          <w:sz w:val="28"/>
          <w:szCs w:val="28"/>
        </w:rPr>
      </w:pPr>
    </w:p>
    <w:p>
      <w:pPr>
        <w:keepNext/>
        <w:keepLines/>
        <w:widowControl/>
        <w:spacing w:before="190" w:beforeLines="50" w:after="190" w:afterLines="50" w:line="500" w:lineRule="exact"/>
        <w:jc w:val="left"/>
        <w:outlineLvl w:val="2"/>
        <w:rPr>
          <w:rFonts w:ascii="仿宋" w:hAnsi="仿宋" w:eastAsia="黑体"/>
          <w:b/>
          <w:bCs/>
          <w:sz w:val="30"/>
          <w:szCs w:val="32"/>
        </w:rPr>
      </w:pPr>
      <w:r>
        <w:rPr>
          <w:rFonts w:hint="eastAsia" w:ascii="仿宋" w:hAnsi="仿宋" w:eastAsia="黑体"/>
          <w:b/>
          <w:bCs/>
          <w:sz w:val="30"/>
          <w:szCs w:val="32"/>
        </w:rPr>
        <w:t>4、方法能力</w:t>
      </w:r>
    </w:p>
    <w:p>
      <w:pPr>
        <w:spacing w:line="400" w:lineRule="exact"/>
        <w:ind w:firstLine="560" w:firstLineChars="200"/>
        <w:rPr>
          <w:rFonts w:hint="eastAsia" w:ascii="仿宋_GB2312" w:hAnsi="Calibri" w:eastAsia="仿宋_GB2312" w:cs="Times New Roman"/>
          <w:sz w:val="28"/>
          <w:szCs w:val="28"/>
        </w:rPr>
      </w:pPr>
      <w:bookmarkStart w:id="65" w:name="_Toc441587079"/>
      <w:bookmarkEnd w:id="65"/>
      <w:bookmarkStart w:id="66" w:name="_Toc40345205"/>
      <w:bookmarkEnd w:id="66"/>
      <w:bookmarkStart w:id="67" w:name="_Toc40343065"/>
      <w:bookmarkEnd w:id="67"/>
      <w:bookmarkStart w:id="68" w:name="_Toc7783"/>
      <w:r>
        <w:rPr>
          <w:rFonts w:hint="eastAsia" w:ascii="仿宋_GB2312" w:hAnsi="Calibri" w:eastAsia="仿宋_GB2312" w:cs="Times New Roman"/>
          <w:sz w:val="28"/>
          <w:szCs w:val="28"/>
        </w:rPr>
        <w:t>（1）能够有效和他人沟通、解释相关会计法律法规；</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（2）能够如实反映单位经济业务事项，不为利益所诱惑，不伪造账目，不弄虚作假。同时，还应当保守本单位的商业秘密，除法律规定和单位领导人同意外，不得私自向外界提供或者泄露本单位的会计信息；              </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（3）能够正确处理会计职业权利与职业义务的关系，增强抵制行业不正之风的能力；树立正确的人生观和价值观，严格划分公私界限，做到不贪不占，遵纪守法，清正廉洁；</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4）在处理经济业务过程中，能够不为主观或他人意志左右，始终坚持按照会计法律、法规和国家统一的会计制度的要求进行会计核算，实施会计监督，确保所提供的会计信息真实、完整、维护国家利益、社会公众利益和正常的经济秩序；</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（5）通过学习、培训和实践等途径，不断提高会计理论水平、会计实务能力、职业判断能力、自动更新知识的能力、提高会计信息能力、沟通交流能力以及职业经验；</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6）参与管理要求会计人员在做好本职工作的同时，树立参与管理的意识，努力钻研相关业务，全面熟悉本单位经营活动和业务流程，主动向领导反映经营管理活动中的情况和存在的问题，主动提出合理化建议，协助领导决策，参与经营管理活动，做好领导的参谋；</w:t>
      </w:r>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7）具有强烈的服务意识、文明的服务态度和优良的服务质量。会计人员必须端正服务态度，做到讲文明、讲礼貌、讲信誉、讲诚实，坚持准则，真实、客观地核算单位的经济业务，努力维护和提升会计职业的良好社会形象。</w:t>
      </w:r>
    </w:p>
    <w:p>
      <w:pPr>
        <w:keepNext/>
        <w:keepLines/>
        <w:widowControl/>
        <w:spacing w:before="190" w:beforeLines="50" w:after="190" w:afterLines="50" w:line="500" w:lineRule="exact"/>
        <w:jc w:val="left"/>
        <w:outlineLvl w:val="2"/>
        <w:rPr>
          <w:rFonts w:ascii="仿宋" w:hAnsi="仿宋" w:eastAsia="黑体"/>
          <w:b/>
          <w:bCs/>
          <w:sz w:val="30"/>
          <w:szCs w:val="32"/>
        </w:rPr>
      </w:pPr>
      <w:r>
        <w:rPr>
          <w:rFonts w:hint="eastAsia" w:ascii="仿宋" w:hAnsi="仿宋" w:eastAsia="黑体"/>
          <w:b/>
          <w:bCs/>
          <w:sz w:val="30"/>
          <w:szCs w:val="32"/>
        </w:rPr>
        <w:t>5、社会能力</w:t>
      </w:r>
      <w:bookmarkEnd w:id="68"/>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（1）能够总结、推导出初步的结论；能将信息口头传达给别人，让别人“明确无误”地理解；</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 xml:space="preserve">（2）能够总结、推导出初步的结论；能够对简单的文章进行阅读、标记、总结并用简单的手段进行视图化；              </w:t>
      </w:r>
    </w:p>
    <w:p>
      <w:pPr>
        <w:spacing w:line="400" w:lineRule="exact"/>
        <w:ind w:firstLine="560" w:firstLineChars="200"/>
        <w:rPr>
          <w:rFonts w:hint="default" w:ascii="仿宋_GB2312" w:hAnsi="Calibri" w:eastAsia="仿宋_GB2312" w:cs="Times New Roman"/>
          <w:sz w:val="28"/>
          <w:szCs w:val="28"/>
          <w:lang w:val="en-US" w:eastAsia="zh-CN"/>
        </w:rPr>
      </w:pPr>
      <w:r>
        <w:rPr>
          <w:rFonts w:hint="eastAsia" w:ascii="仿宋_GB2312" w:hAnsi="Calibri" w:eastAsia="仿宋_GB2312" w:cs="Times New Roman"/>
          <w:sz w:val="28"/>
          <w:szCs w:val="28"/>
        </w:rPr>
        <w:t>（3）能够</w:t>
      </w:r>
      <w:r>
        <w:rPr>
          <w:rFonts w:hint="eastAsia" w:ascii="仿宋_GB2312" w:hAnsi="Calibri" w:eastAsia="仿宋_GB2312" w:cs="Times New Roman"/>
          <w:sz w:val="28"/>
          <w:szCs w:val="28"/>
          <w:lang w:val="en-US" w:eastAsia="zh-CN"/>
        </w:rPr>
        <w:t>独立地处理实务中出现的一般性业务问题；</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（5）坚持安全规范操作，具有环保行为意识；</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（6）</w:t>
      </w:r>
      <w:r>
        <w:rPr>
          <w:rFonts w:hint="eastAsia" w:ascii="仿宋_GB2312" w:hAnsi="Calibri" w:eastAsia="仿宋_GB2312" w:cs="Times New Roman"/>
          <w:sz w:val="28"/>
          <w:szCs w:val="28"/>
          <w:lang w:val="en-US" w:eastAsia="zh-CN"/>
        </w:rPr>
        <w:t>文档管理规范、有序并能适时更新</w:t>
      </w:r>
      <w:r>
        <w:rPr>
          <w:rFonts w:hint="eastAsia" w:ascii="仿宋_GB2312" w:hAnsi="Calibri" w:eastAsia="仿宋_GB2312" w:cs="Times New Roman"/>
          <w:sz w:val="28"/>
          <w:szCs w:val="28"/>
        </w:rPr>
        <w:t>；</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（7）提高团队计划解决方案能力，表达沟通提高团队协作力。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（8）具有法律行为意识；</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（9）能</w:t>
      </w:r>
      <w:r>
        <w:rPr>
          <w:rFonts w:hint="eastAsia" w:ascii="仿宋_GB2312" w:hAnsi="Calibri" w:eastAsia="仿宋_GB2312" w:cs="Times New Roman"/>
          <w:sz w:val="28"/>
          <w:szCs w:val="28"/>
          <w:lang w:val="en-US" w:eastAsia="zh-CN"/>
        </w:rPr>
        <w:t>基本掌握本人负责的客户的基本资料</w:t>
      </w:r>
      <w:r>
        <w:rPr>
          <w:rFonts w:hint="eastAsia" w:ascii="仿宋_GB2312" w:hAnsi="Calibri" w:eastAsia="仿宋_GB2312" w:cs="Times New Roman"/>
          <w:sz w:val="28"/>
          <w:szCs w:val="28"/>
        </w:rPr>
        <w:t>；</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（10）</w:t>
      </w:r>
      <w:r>
        <w:rPr>
          <w:rFonts w:hint="eastAsia" w:ascii="仿宋_GB2312" w:hAnsi="Calibri" w:eastAsia="仿宋_GB2312" w:cs="Times New Roman"/>
          <w:sz w:val="28"/>
          <w:szCs w:val="28"/>
          <w:lang w:val="en-US" w:eastAsia="zh-CN"/>
        </w:rPr>
        <w:t>了解、掌握客户所处行业的新政策动态</w:t>
      </w:r>
      <w:r>
        <w:rPr>
          <w:rFonts w:hint="eastAsia" w:ascii="仿宋_GB2312" w:hAnsi="Calibri" w:eastAsia="仿宋_GB2312" w:cs="Times New Roman"/>
          <w:sz w:val="28"/>
          <w:szCs w:val="28"/>
        </w:rPr>
        <w:t>；</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（11）</w:t>
      </w:r>
      <w:r>
        <w:rPr>
          <w:rFonts w:hint="eastAsia" w:ascii="仿宋_GB2312" w:hAnsi="Calibri" w:eastAsia="仿宋_GB2312" w:cs="Times New Roman"/>
          <w:sz w:val="28"/>
          <w:szCs w:val="28"/>
          <w:lang w:val="en-US" w:eastAsia="zh-CN"/>
        </w:rPr>
        <w:t>有较强的专业学习应用能力</w:t>
      </w:r>
      <w:r>
        <w:rPr>
          <w:rFonts w:hint="eastAsia" w:ascii="仿宋_GB2312" w:hAnsi="Calibri" w:eastAsia="仿宋_GB2312" w:cs="Times New Roman"/>
          <w:sz w:val="28"/>
          <w:szCs w:val="28"/>
        </w:rPr>
        <w:t>；</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（12）</w:t>
      </w:r>
      <w:r>
        <w:rPr>
          <w:rFonts w:hint="eastAsia" w:ascii="仿宋_GB2312" w:hAnsi="Calibri" w:eastAsia="仿宋_GB2312" w:cs="Times New Roman"/>
          <w:sz w:val="28"/>
          <w:szCs w:val="28"/>
          <w:lang w:val="en-US" w:eastAsia="zh-CN"/>
        </w:rPr>
        <w:t>具备一定的沟通表达能力</w:t>
      </w:r>
      <w:r>
        <w:rPr>
          <w:rFonts w:hint="eastAsia" w:ascii="仿宋_GB2312" w:hAnsi="Calibri" w:eastAsia="仿宋_GB2312" w:cs="Times New Roman"/>
          <w:sz w:val="28"/>
          <w:szCs w:val="28"/>
        </w:rPr>
        <w:t>；</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（13）具有较强的客户服务意识，能对各类客户投诉与异议进行处理，具有一定的协调客户关系的能力。</w:t>
      </w:r>
    </w:p>
    <w:p>
      <w:pPr>
        <w:keepNext/>
        <w:keepLines/>
        <w:widowControl/>
        <w:spacing w:before="190" w:beforeLines="50" w:after="190" w:afterLines="50" w:line="360" w:lineRule="auto"/>
        <w:outlineLvl w:val="0"/>
        <w:rPr>
          <w:rFonts w:ascii="黑体" w:hAnsi="黑体" w:eastAsia="黑体"/>
          <w:b/>
          <w:bCs/>
          <w:kern w:val="44"/>
          <w:sz w:val="32"/>
          <w:szCs w:val="32"/>
        </w:rPr>
      </w:pPr>
      <w:bookmarkStart w:id="69" w:name="_Toc291"/>
      <w:bookmarkEnd w:id="69"/>
      <w:bookmarkStart w:id="70" w:name="_Toc40343066"/>
      <w:bookmarkEnd w:id="70"/>
      <w:bookmarkStart w:id="71" w:name="_Toc86244982"/>
      <w:bookmarkEnd w:id="71"/>
      <w:bookmarkStart w:id="72" w:name="_Toc40345206"/>
      <w:bookmarkEnd w:id="72"/>
      <w:bookmarkStart w:id="73" w:name="_Toc4388"/>
      <w:bookmarkEnd w:id="73"/>
      <w:bookmarkStart w:id="74" w:name="_Toc40343068"/>
      <w:bookmarkEnd w:id="74"/>
      <w:bookmarkStart w:id="75" w:name="_Toc40345208"/>
      <w:bookmarkStart w:id="76" w:name="_Toc89266106"/>
      <w:r>
        <w:rPr>
          <w:rFonts w:hint="eastAsia" w:ascii="仿宋" w:hAnsi="仿宋" w:eastAsia="黑体"/>
          <w:b/>
          <w:bCs/>
          <w:kern w:val="44"/>
          <w:sz w:val="32"/>
          <w:szCs w:val="44"/>
        </w:rPr>
        <w:t>六、课程设置及要求</w:t>
      </w:r>
      <w:bookmarkEnd w:id="75"/>
      <w:bookmarkEnd w:id="76"/>
    </w:p>
    <w:p>
      <w:pPr>
        <w:keepNext/>
        <w:keepLines/>
        <w:widowControl/>
        <w:spacing w:before="190" w:beforeLines="50" w:after="190" w:afterLines="50" w:line="500" w:lineRule="exact"/>
        <w:jc w:val="left"/>
        <w:outlineLvl w:val="1"/>
        <w:rPr>
          <w:rFonts w:ascii="仿宋" w:hAnsi="仿宋" w:eastAsia="黑体" w:cstheme="majorBidi"/>
          <w:b/>
          <w:bCs/>
          <w:sz w:val="30"/>
          <w:szCs w:val="32"/>
        </w:rPr>
      </w:pPr>
      <w:bookmarkStart w:id="77" w:name="_Toc20978"/>
      <w:bookmarkEnd w:id="77"/>
      <w:bookmarkStart w:id="78" w:name="_Toc40345207"/>
      <w:bookmarkEnd w:id="78"/>
      <w:bookmarkStart w:id="79" w:name="_Toc40343067"/>
      <w:bookmarkEnd w:id="79"/>
      <w:bookmarkStart w:id="80" w:name="_Toc89266107"/>
      <w:bookmarkStart w:id="81" w:name="_Toc86244983"/>
      <w:r>
        <w:rPr>
          <w:rFonts w:hint="eastAsia" w:ascii="仿宋" w:hAnsi="仿宋" w:eastAsia="黑体" w:cstheme="majorBidi"/>
          <w:b/>
          <w:bCs/>
          <w:sz w:val="30"/>
          <w:szCs w:val="32"/>
        </w:rPr>
        <w:t>（一）公共基础课程</w:t>
      </w:r>
      <w:bookmarkEnd w:id="80"/>
      <w:bookmarkEnd w:id="81"/>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公共基础课包括思想政治课（中国特色社会主义、心理健康与职业生涯、哲学与人生、职业道德与法治）、文化课（语文、数学、英语）、体育与健康、信息技术、历史、艺术、劳动教育、安全教育等。</w:t>
      </w:r>
    </w:p>
    <w:p>
      <w:pPr>
        <w:widowControl/>
        <w:spacing w:line="360" w:lineRule="auto"/>
        <w:ind w:firstLine="482" w:firstLineChars="20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 xml:space="preserve"> </w:t>
      </w:r>
    </w:p>
    <w:p>
      <w:pPr>
        <w:widowControl/>
        <w:spacing w:line="360" w:lineRule="auto"/>
        <w:ind w:firstLine="482" w:firstLineChars="20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 xml:space="preserve"> </w:t>
      </w:r>
    </w:p>
    <w:p>
      <w:pPr>
        <w:widowControl/>
        <w:spacing w:line="360" w:lineRule="auto"/>
        <w:ind w:firstLine="602" w:firstLineChars="200"/>
        <w:jc w:val="center"/>
        <w:rPr>
          <w:rFonts w:ascii="黑体" w:hAnsi="黑体" w:eastAsia="黑体"/>
          <w:b/>
          <w:bCs/>
          <w:kern w:val="0"/>
          <w:sz w:val="30"/>
          <w:szCs w:val="30"/>
        </w:rPr>
      </w:pPr>
      <w:bookmarkStart w:id="82" w:name="_Hlk85355534"/>
      <w:bookmarkEnd w:id="82"/>
      <w:r>
        <w:rPr>
          <w:rFonts w:hint="eastAsia" w:ascii="黑体" w:hAnsi="黑体" w:eastAsia="黑体"/>
          <w:b/>
          <w:bCs/>
          <w:kern w:val="0"/>
          <w:sz w:val="30"/>
          <w:szCs w:val="30"/>
        </w:rPr>
        <w:t>公共基础课课程目安排及课程简介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810"/>
        <w:gridCol w:w="699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b/>
                <w:bCs/>
                <w:sz w:val="24"/>
                <w:szCs w:val="24"/>
              </w:rPr>
            </w:pPr>
            <w:bookmarkStart w:id="83" w:name="_Hlk85184725"/>
            <w:bookmarkEnd w:id="83"/>
            <w:r>
              <w:rPr>
                <w:rFonts w:hint="eastAsia" w:ascii="仿宋_GB2312" w:eastAsia="仿宋_GB2312"/>
                <w:b/>
                <w:bCs/>
                <w:sz w:val="24"/>
                <w:szCs w:val="24"/>
              </w:rPr>
              <w:t>序号</w:t>
            </w:r>
          </w:p>
        </w:tc>
        <w:tc>
          <w:tcPr>
            <w:tcW w:w="43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b/>
                <w:bCs/>
                <w:sz w:val="24"/>
                <w:szCs w:val="24"/>
              </w:rPr>
            </w:pPr>
            <w:r>
              <w:rPr>
                <w:rFonts w:hint="eastAsia" w:ascii="仿宋_GB2312" w:eastAsia="仿宋_GB2312"/>
                <w:b/>
                <w:bCs/>
                <w:sz w:val="24"/>
                <w:szCs w:val="24"/>
              </w:rPr>
              <w:t>课程名称</w:t>
            </w:r>
          </w:p>
        </w:tc>
        <w:tc>
          <w:tcPr>
            <w:tcW w:w="372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b/>
                <w:bCs/>
                <w:sz w:val="24"/>
                <w:szCs w:val="24"/>
              </w:rPr>
            </w:pPr>
            <w:r>
              <w:rPr>
                <w:rFonts w:hint="eastAsia" w:ascii="仿宋_GB2312" w:eastAsia="仿宋_GB2312"/>
                <w:b/>
                <w:bCs/>
                <w:sz w:val="24"/>
                <w:szCs w:val="24"/>
              </w:rPr>
              <w:t>主要教学内容和教学要求</w:t>
            </w:r>
          </w:p>
        </w:tc>
        <w:tc>
          <w:tcPr>
            <w:tcW w:w="444" w:type="pct"/>
            <w:tcBorders>
              <w:top w:val="single" w:color="auto" w:sz="4" w:space="0"/>
              <w:left w:val="nil"/>
              <w:bottom w:val="single" w:color="auto" w:sz="4" w:space="0"/>
              <w:right w:val="single" w:color="auto" w:sz="4" w:space="0"/>
            </w:tcBorders>
            <w:vAlign w:val="center"/>
          </w:tcPr>
          <w:p>
            <w:pPr>
              <w:spacing w:line="300" w:lineRule="exact"/>
              <w:jc w:val="center"/>
              <w:rPr>
                <w:rFonts w:ascii="Calibri" w:hAnsi="Calibri" w:eastAsia="宋体" w:cs="Times New Roman"/>
                <w:b/>
                <w:bCs/>
                <w:szCs w:val="21"/>
              </w:rPr>
            </w:pPr>
            <w:r>
              <w:rPr>
                <w:rFonts w:hint="eastAsia" w:ascii="仿宋_GB2312" w:eastAsia="仿宋_GB2312"/>
                <w:b/>
                <w:bCs/>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w:t>
            </w:r>
          </w:p>
        </w:tc>
        <w:tc>
          <w:tcPr>
            <w:tcW w:w="43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中国特色社会主义</w:t>
            </w:r>
          </w:p>
        </w:tc>
        <w:tc>
          <w:tcPr>
            <w:tcW w:w="3721" w:type="pct"/>
            <w:tcBorders>
              <w:top w:val="single" w:color="auto" w:sz="4" w:space="0"/>
              <w:left w:val="nil"/>
              <w:bottom w:val="single" w:color="auto" w:sz="4" w:space="0"/>
              <w:right w:val="single" w:color="auto" w:sz="4" w:space="0"/>
            </w:tcBorders>
            <w:vAlign w:val="center"/>
          </w:tcPr>
          <w:p>
            <w:pPr>
              <w:spacing w:line="300" w:lineRule="exact"/>
              <w:ind w:firstLine="240" w:firstLineChars="100"/>
              <w:rPr>
                <w:rFonts w:ascii="仿宋_GB2312" w:eastAsia="仿宋_GB2312"/>
                <w:sz w:val="24"/>
                <w:szCs w:val="24"/>
              </w:rPr>
            </w:pPr>
            <w:r>
              <w:rPr>
                <w:rFonts w:hint="eastAsia" w:ascii="仿宋_GB2312" w:eastAsia="仿宋_GB2312"/>
                <w:sz w:val="24"/>
                <w:szCs w:val="24"/>
              </w:rPr>
              <w:t>依据《中等职业学校中国特色社会主义教课程标准》开设，并与专业实际和行业发展密切结合。</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1.正确认识我国发展新的历史方位和社会主要矛盾的变化，理解习近平新时代中国特色社会主义思想是党和国家必须长期坚持的指导思想；</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2.拥护党的领导，领会中国共产党领导是中国特色社会主义最本质的特征和中国特色社会主义制度的最大优势，理解新时代中国共产党的历史使命；</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3.坚信坚持和发展中国特色社会主义是当代中国发展进步的根本方向，认同和拥护中国特色社会主义制度，坚定中国特色社会主义道路自信、理论自信、制度自信、文化自信；</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4.坚持社会主义核心价值体系，自觉培育和践行社会主义核心价值观；</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5.热爱伟大祖国，自觉弘扬和实践爱国主义精神，树立远大志向，在实现中国梦的伟大实践中创造自己精彩人生；</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6.具有人民当家作主的主人翁意识，积极参与民主选举、民主管理、民主决策、民主监督的实践，提高对话协商、沟通合作、表达诉求和解决问题的能力。</w:t>
            </w:r>
          </w:p>
        </w:tc>
        <w:tc>
          <w:tcPr>
            <w:tcW w:w="444"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trPr>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2</w:t>
            </w:r>
          </w:p>
        </w:tc>
        <w:tc>
          <w:tcPr>
            <w:tcW w:w="43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心理健康与职业生涯</w:t>
            </w:r>
          </w:p>
        </w:tc>
        <w:tc>
          <w:tcPr>
            <w:tcW w:w="3721" w:type="pct"/>
            <w:tcBorders>
              <w:top w:val="single" w:color="auto" w:sz="4" w:space="0"/>
              <w:left w:val="nil"/>
              <w:bottom w:val="single" w:color="auto" w:sz="4" w:space="0"/>
              <w:right w:val="single" w:color="auto" w:sz="4" w:space="0"/>
            </w:tcBorders>
            <w:vAlign w:val="center"/>
          </w:tcPr>
          <w:p>
            <w:pPr>
              <w:spacing w:line="300" w:lineRule="exact"/>
              <w:ind w:firstLine="240" w:firstLineChars="100"/>
              <w:rPr>
                <w:rFonts w:ascii="仿宋_GB2312" w:eastAsia="仿宋_GB2312"/>
                <w:sz w:val="24"/>
                <w:szCs w:val="24"/>
              </w:rPr>
            </w:pPr>
            <w:r>
              <w:rPr>
                <w:rFonts w:hint="eastAsia" w:ascii="仿宋_GB2312" w:eastAsia="仿宋_GB2312"/>
                <w:sz w:val="24"/>
                <w:szCs w:val="24"/>
              </w:rPr>
              <w:t>依据《中等职业学校心理健康与职业生涯课程标准》开设，并与专业实际和行业发展密切结合。</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1.具有自立自强、敬业乐群的心理品质和自尊自信、理性平和、积极向上的良好心态；</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2.能够正确认识自我，正确处理个人与他人、个人与社会的关系，确立符合社会需要和自身实际的积极生活目标，选择正确的人生发展道路；</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3.能够适应环境、应对挫折、把握机遇、勇于创新，正确处理在生活、成长、学习和求职就业过程中出现的心理和行为问题，增强调控情绪、自主自助和积极适应社会发展变化的能力；</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4.学会根据社会发展需要和自身特点进行职业生涯规划，正确处理人生发展过程中遇到的问题，养成良好职业道德行为习惯，自觉践行劳动精神、劳模精神和工匠精神，不断提升职业道德境界。</w:t>
            </w:r>
          </w:p>
        </w:tc>
        <w:tc>
          <w:tcPr>
            <w:tcW w:w="444"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3</w:t>
            </w:r>
          </w:p>
        </w:tc>
        <w:tc>
          <w:tcPr>
            <w:tcW w:w="43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哲学与人生</w:t>
            </w:r>
          </w:p>
        </w:tc>
        <w:tc>
          <w:tcPr>
            <w:tcW w:w="3721" w:type="pct"/>
            <w:tcBorders>
              <w:top w:val="single" w:color="auto" w:sz="4" w:space="0"/>
              <w:left w:val="nil"/>
              <w:bottom w:val="single" w:color="auto" w:sz="4" w:space="0"/>
              <w:right w:val="single" w:color="auto" w:sz="4" w:space="0"/>
            </w:tcBorders>
            <w:vAlign w:val="center"/>
          </w:tcPr>
          <w:p>
            <w:pPr>
              <w:spacing w:line="300" w:lineRule="exact"/>
              <w:ind w:firstLine="240" w:firstLineChars="100"/>
              <w:rPr>
                <w:rFonts w:ascii="仿宋_GB2312" w:eastAsia="仿宋_GB2312"/>
                <w:sz w:val="24"/>
                <w:szCs w:val="24"/>
              </w:rPr>
            </w:pPr>
            <w:r>
              <w:rPr>
                <w:rFonts w:hint="eastAsia" w:ascii="仿宋_GB2312" w:eastAsia="仿宋_GB2312"/>
                <w:sz w:val="24"/>
                <w:szCs w:val="24"/>
              </w:rPr>
              <w:t>依据《中等职业学校哲学与人生课程标准》开设，并与专业实际和行业发展密切结合。</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初步掌握辩证唯物主义和历史唯物主义基本原理，运用马克思主义立场、观点和方法，观察分析经济、政治、文化、社会、生态文明等现象，对社会现实和人生问题进行正确价值判断和行为选择。</w:t>
            </w:r>
          </w:p>
        </w:tc>
        <w:tc>
          <w:tcPr>
            <w:tcW w:w="444"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4</w:t>
            </w:r>
          </w:p>
        </w:tc>
        <w:tc>
          <w:tcPr>
            <w:tcW w:w="43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职业道德与法治</w:t>
            </w:r>
          </w:p>
        </w:tc>
        <w:tc>
          <w:tcPr>
            <w:tcW w:w="3721" w:type="pct"/>
            <w:tcBorders>
              <w:top w:val="single" w:color="auto" w:sz="4" w:space="0"/>
              <w:left w:val="nil"/>
              <w:bottom w:val="single" w:color="auto" w:sz="4" w:space="0"/>
              <w:right w:val="single" w:color="auto" w:sz="4" w:space="0"/>
            </w:tcBorders>
            <w:vAlign w:val="center"/>
          </w:tcPr>
          <w:p>
            <w:pPr>
              <w:spacing w:line="300" w:lineRule="exact"/>
              <w:ind w:firstLine="240" w:firstLineChars="100"/>
              <w:rPr>
                <w:rFonts w:ascii="仿宋_GB2312" w:eastAsia="仿宋_GB2312"/>
                <w:sz w:val="24"/>
                <w:szCs w:val="24"/>
              </w:rPr>
            </w:pPr>
            <w:r>
              <w:rPr>
                <w:rFonts w:hint="eastAsia" w:ascii="仿宋_GB2312" w:eastAsia="仿宋_GB2312"/>
                <w:sz w:val="24"/>
                <w:szCs w:val="24"/>
              </w:rPr>
              <w:t>依据《中等职业学校职业道德与法治课程标准》开设，并与专业实际和行业发展密切结合。</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1.正确认识劳动在人类社会发展中的作用，理解正确的职业理想对国家以及人生发展的作用，明确职业生涯规划对实现职业理想的重要性，懂得职业道德对职业发展和人生成长的意义；</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2.树立正确的劳动观、职业观、就业观、创业观和成才观，强化无论从事什么劳动和职业，都要有干一行、爱一行、钻一行的意识，增强职业道德意识，确立通过辛勤劳动、诚实劳动、创造性劳动实现自身发展的信念；</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3.了解与日常生活和职业活动密切相关的法律知识，理解法治是党领导人民治理国家的基本方式，明确建设社会主义法治国家的战略目标；</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4.树立宪法法律至上、法律面前人人平等的法治理念，形成法治让社会更和谐、生活更美好的认知和情感；学会从法的角度去认识和理解社会，养成依法行使权利、履行法定义务的思维方式和行为习惯；</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5.正确行使公民权利，自觉履行公民义务，热心公益事业，弘扬集体主义精神；</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6.遵守社会规则和公共道德，有序参与公共事务；</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7.乐于为人民服务，勇于担当社会责任。</w:t>
            </w:r>
          </w:p>
        </w:tc>
        <w:tc>
          <w:tcPr>
            <w:tcW w:w="444"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5</w:t>
            </w:r>
          </w:p>
        </w:tc>
        <w:tc>
          <w:tcPr>
            <w:tcW w:w="43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语文</w:t>
            </w:r>
          </w:p>
        </w:tc>
        <w:tc>
          <w:tcPr>
            <w:tcW w:w="3721" w:type="pct"/>
            <w:tcBorders>
              <w:top w:val="single" w:color="auto" w:sz="4" w:space="0"/>
              <w:left w:val="nil"/>
              <w:bottom w:val="single" w:color="auto" w:sz="4" w:space="0"/>
              <w:right w:val="single" w:color="auto" w:sz="4" w:space="0"/>
            </w:tcBorders>
            <w:vAlign w:val="center"/>
          </w:tcPr>
          <w:p>
            <w:pPr>
              <w:spacing w:line="300" w:lineRule="exact"/>
              <w:ind w:firstLine="240" w:firstLineChars="100"/>
              <w:rPr>
                <w:rFonts w:ascii="仿宋_GB2312" w:eastAsia="仿宋_GB2312"/>
                <w:sz w:val="24"/>
                <w:szCs w:val="24"/>
              </w:rPr>
            </w:pPr>
            <w:r>
              <w:rPr>
                <w:rFonts w:hint="eastAsia" w:ascii="仿宋_GB2312" w:eastAsia="仿宋_GB2312"/>
                <w:sz w:val="24"/>
                <w:szCs w:val="24"/>
              </w:rPr>
              <w:t>依据《中等职业学校语文课程标准》开设，并注重在职业模块的教学内容中体现专业特色。</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坚持立德树人，发挥语文课程独特的育人功能。引导学生树立正确的历史观、民族观、国家观、文化观，培养爱党爱国爱人民的深厚感情和积极的人生态度，增强社会责任感和历史使命感。</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整体把握语文学科核心素养，合理设计教学活动，深刻领会并树立发展学科核心素养的教学理念，要加强模块间的衔接与整合，与课程发展同步提高课程开发设计等专业能力。</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以学生发展为本，根据学生认知特点和能力水平组织教学。重视启发式、讨论式教学，强化关键能力培养，加强必要的基础知识教学和基本技能训练，引导学生自主、积极、愉快地参与或开展积极的言语实践，引导学生独立思考，自主学习，培养逻辑推理、信息加工能力，提高口语交际和文字写作的素养。</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体现职业教育特点，加强实践与应用。采用语文综合实践教学组织形式，要打破时空与学科界限，有意识地加强课程内容与专业教育、职业生活的联系和配合，自然融入职业道德、职业精神教育，创设与行业企业相近的教学情境，逐步掌握运用语言文字的规律。</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 xml:space="preserve">提高信息素养，探索信息化背景下教与学方式的转变。创设更生动、逼真的学习情境，引导学生有效整合语文学习资源，开展基于网络的多种阅读与欣赏、表达与交流、语文综合实践等活动,改善师生的互动方式，提高自主学习的能力。适应新一代信息技术的发展趋势，优化语文学习环境，不断思考和探寻现代信息技术下的语文教学新模式。 </w:t>
            </w:r>
          </w:p>
        </w:tc>
        <w:tc>
          <w:tcPr>
            <w:tcW w:w="444"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hAnsi="宋体" w:eastAsia="仿宋_GB2312"/>
                <w:color w:val="000000"/>
                <w:sz w:val="20"/>
                <w:szCs w:val="2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6</w:t>
            </w:r>
          </w:p>
        </w:tc>
        <w:tc>
          <w:tcPr>
            <w:tcW w:w="43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数学</w:t>
            </w:r>
          </w:p>
        </w:tc>
        <w:tc>
          <w:tcPr>
            <w:tcW w:w="3721" w:type="pct"/>
            <w:tcBorders>
              <w:top w:val="single" w:color="auto" w:sz="4" w:space="0"/>
              <w:left w:val="nil"/>
              <w:bottom w:val="single" w:color="auto" w:sz="4" w:space="0"/>
              <w:right w:val="single" w:color="auto" w:sz="4" w:space="0"/>
            </w:tcBorders>
            <w:vAlign w:val="center"/>
          </w:tcPr>
          <w:p>
            <w:pPr>
              <w:spacing w:line="300" w:lineRule="exact"/>
              <w:ind w:firstLine="240" w:firstLineChars="100"/>
              <w:rPr>
                <w:rFonts w:ascii="仿宋_GB2312" w:eastAsia="仿宋_GB2312"/>
                <w:sz w:val="24"/>
                <w:szCs w:val="24"/>
              </w:rPr>
            </w:pPr>
            <w:r>
              <w:rPr>
                <w:rFonts w:hint="eastAsia" w:ascii="仿宋_GB2312" w:eastAsia="仿宋_GB2312"/>
                <w:sz w:val="24"/>
                <w:szCs w:val="24"/>
              </w:rPr>
              <w:t>依据《中等职业学校数学课程标准》开设，并注重在职业模块的教学内容中体现专业特色。</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1.落实立德树人，聚焦核心素养。教师要将社会主义核心价值观贯穿于发展学生数学学科核心素养的过程中，培养学生逐步形成正确的价值观念，要深刻理解数学学科核心素养的内涵、育人价值，将课程目标、教学内容、教学形式、教学方法和教学手段等聚焦于培养和发展学生的学科素养上。</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2.突出主体地位，改进教学方式。教师要实施以学生为中心的教学模式，根据学科特点、学生认识规律和专业特点，采用多种教学方式，采取低起点、重衔接、小梯度的教学策略。</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3.体现职教特色，注重实践应用。教学中，加强教学内容与社会生活、专业课程和职业应用的联系，创设或选择关联的教学情境，增加学生数学应用意识；选择或建立合适的数学模型，以解决问题为主线的教学方式培养运用数学解决实际问题的能力。</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4.利用信息技术，提高教学效果。教师要不断提高课堂教学的信息化程度，重视利用软件和工具进行数据计算统计分析，善于利用网络平台获取资源，引导学生在网络中学习，创新教学方式、教学方式和教学评价。</w:t>
            </w:r>
          </w:p>
        </w:tc>
        <w:tc>
          <w:tcPr>
            <w:tcW w:w="444"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olor w:val="000000"/>
                <w:sz w:val="20"/>
                <w:szCs w:val="20"/>
              </w:rPr>
            </w:pPr>
          </w:p>
          <w:p>
            <w:pPr>
              <w:spacing w:line="300" w:lineRule="exact"/>
              <w:jc w:val="center"/>
              <w:rPr>
                <w:rFonts w:ascii="仿宋_GB2312" w:hAnsi="宋体" w:eastAsia="仿宋_GB2312"/>
                <w:color w:val="000000"/>
                <w:sz w:val="20"/>
                <w:szCs w:val="20"/>
              </w:rPr>
            </w:pPr>
          </w:p>
          <w:p>
            <w:pPr>
              <w:spacing w:line="300" w:lineRule="exact"/>
              <w:jc w:val="center"/>
              <w:rPr>
                <w:rFonts w:ascii="仿宋_GB2312" w:hAnsi="宋体" w:eastAsia="仿宋_GB2312"/>
                <w:color w:val="000000"/>
                <w:sz w:val="20"/>
                <w:szCs w:val="20"/>
              </w:rPr>
            </w:pPr>
          </w:p>
          <w:p>
            <w:pPr>
              <w:spacing w:line="300" w:lineRule="exact"/>
              <w:jc w:val="center"/>
              <w:rPr>
                <w:rFonts w:ascii="仿宋_GB2312" w:hAnsi="宋体" w:eastAsia="仿宋_GB2312"/>
                <w:color w:val="000000"/>
                <w:sz w:val="20"/>
                <w:szCs w:val="20"/>
              </w:rPr>
            </w:pPr>
          </w:p>
          <w:p>
            <w:pPr>
              <w:spacing w:line="300" w:lineRule="exact"/>
              <w:jc w:val="center"/>
              <w:rPr>
                <w:rFonts w:ascii="仿宋_GB2312" w:hAnsi="宋体" w:eastAsia="仿宋_GB2312"/>
                <w:color w:val="000000"/>
                <w:sz w:val="20"/>
                <w:szCs w:val="20"/>
              </w:rPr>
            </w:pPr>
          </w:p>
          <w:p>
            <w:pPr>
              <w:spacing w:line="300" w:lineRule="exact"/>
              <w:jc w:val="center"/>
              <w:rPr>
                <w:rFonts w:ascii="仿宋_GB2312" w:hAnsi="宋体" w:eastAsia="仿宋_GB2312"/>
                <w:color w:val="000000"/>
                <w:sz w:val="20"/>
                <w:szCs w:val="20"/>
              </w:rPr>
            </w:pPr>
          </w:p>
          <w:p>
            <w:pPr>
              <w:spacing w:line="300" w:lineRule="exact"/>
              <w:jc w:val="center"/>
              <w:rPr>
                <w:rFonts w:ascii="仿宋_GB2312" w:eastAsia="仿宋_GB2312"/>
                <w:sz w:val="24"/>
                <w:szCs w:val="24"/>
              </w:rPr>
            </w:pPr>
            <w:r>
              <w:rPr>
                <w:rFonts w:hint="eastAsia" w:ascii="仿宋_GB2312" w:hAnsi="宋体" w:eastAsia="仿宋_GB2312"/>
                <w:color w:val="000000"/>
                <w:sz w:val="20"/>
                <w:szCs w:val="2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7</w:t>
            </w:r>
          </w:p>
        </w:tc>
        <w:tc>
          <w:tcPr>
            <w:tcW w:w="43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英语</w:t>
            </w:r>
          </w:p>
        </w:tc>
        <w:tc>
          <w:tcPr>
            <w:tcW w:w="3721" w:type="pct"/>
            <w:tcBorders>
              <w:top w:val="single" w:color="auto" w:sz="4" w:space="0"/>
              <w:left w:val="nil"/>
              <w:bottom w:val="single" w:color="auto" w:sz="4" w:space="0"/>
              <w:right w:val="single" w:color="auto" w:sz="4" w:space="0"/>
            </w:tcBorders>
            <w:vAlign w:val="center"/>
          </w:tcPr>
          <w:p>
            <w:pPr>
              <w:spacing w:line="300" w:lineRule="exact"/>
              <w:ind w:firstLine="240" w:firstLineChars="100"/>
              <w:rPr>
                <w:rFonts w:ascii="仿宋_GB2312" w:eastAsia="仿宋_GB2312"/>
                <w:sz w:val="24"/>
                <w:szCs w:val="24"/>
              </w:rPr>
            </w:pPr>
            <w:r>
              <w:rPr>
                <w:rFonts w:hint="eastAsia" w:ascii="仿宋_GB2312" w:eastAsia="仿宋_GB2312"/>
                <w:sz w:val="24"/>
                <w:szCs w:val="24"/>
              </w:rPr>
              <w:t>依据《中等职业学校英语课程标准》开设，并往重在职业模块的教学内容中体现专业特色。</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1.坚持立德树人，发挥英语课程育人功能。通过合理的教学活动，帮助学生学习语言的同时，形成对外国优秀文化的正确认识和对中华优秀文化的深刻认识，拓展国际视野，坚定文化自信。</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2.开展活动导向教学，落实学科核心素养。教师应深刻领会英语学科核心素养内涵，设计符合学生实际、目的明确、操作性强、丰富多样的课内外教学活动和任务，开展活动导向教学，引导学生在解决真是问题与完成实际任务的过程中，提升能力。</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3.尊重差异，促进学生的发展。教师应根据学生个体差异，有效整合课程内容，选择适当的教学方法和教学模式，为学生提供多样化的学习选择，让不同类型、不同层次的学生都能享受学习英语的乐趣。</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4.突出职业教育特点，重视实践应用。教师应根据英语课程目标与人才培养规格，有意识加强英语课程与专业教育和职业生活的联系，探索融合的教学新模式，重视学生语言实践英语能力培养。</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5.运用信息技术，促进教与学方式转变。将信息技术与英语课程深度融合，善于利用网络平台和教学资源，开展主动、个性化的学习活动，有效实施信息化教学。</w:t>
            </w:r>
          </w:p>
        </w:tc>
        <w:tc>
          <w:tcPr>
            <w:tcW w:w="444" w:type="pct"/>
            <w:tcBorders>
              <w:top w:val="single" w:color="auto" w:sz="4" w:space="0"/>
              <w:left w:val="nil"/>
              <w:bottom w:val="single" w:color="auto" w:sz="4" w:space="0"/>
              <w:right w:val="single" w:color="auto" w:sz="4" w:space="0"/>
            </w:tcBorders>
            <w:vAlign w:val="center"/>
          </w:tcPr>
          <w:p>
            <w:pPr>
              <w:spacing w:line="300" w:lineRule="exact"/>
              <w:jc w:val="center"/>
              <w:rPr>
                <w:rFonts w:ascii="Calibri" w:hAnsi="Calibri" w:eastAsia="宋体" w:cs="Times New Roman"/>
                <w:szCs w:val="21"/>
              </w:rPr>
            </w:pPr>
            <w:r>
              <w:rPr>
                <w:rFonts w:hint="eastAsia" w:ascii="仿宋_GB2312" w:hAnsi="宋体" w:eastAsia="仿宋_GB2312"/>
                <w:color w:val="000000"/>
                <w:sz w:val="20"/>
                <w:szCs w:val="20"/>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8</w:t>
            </w:r>
          </w:p>
        </w:tc>
        <w:tc>
          <w:tcPr>
            <w:tcW w:w="43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信息技术</w:t>
            </w:r>
          </w:p>
        </w:tc>
        <w:tc>
          <w:tcPr>
            <w:tcW w:w="3721" w:type="pct"/>
            <w:tcBorders>
              <w:top w:val="single" w:color="auto" w:sz="4" w:space="0"/>
              <w:left w:val="nil"/>
              <w:bottom w:val="single" w:color="auto" w:sz="4" w:space="0"/>
              <w:right w:val="single" w:color="auto" w:sz="4" w:space="0"/>
            </w:tcBorders>
            <w:vAlign w:val="center"/>
          </w:tcPr>
          <w:p>
            <w:pPr>
              <w:spacing w:line="300" w:lineRule="exact"/>
              <w:ind w:firstLine="240" w:firstLineChars="100"/>
              <w:rPr>
                <w:rFonts w:ascii="仿宋_GB2312" w:eastAsia="仿宋_GB2312"/>
                <w:sz w:val="24"/>
                <w:szCs w:val="24"/>
              </w:rPr>
            </w:pPr>
            <w:r>
              <w:rPr>
                <w:rFonts w:hint="eastAsia" w:ascii="仿宋_GB2312" w:eastAsia="仿宋_GB2312"/>
                <w:sz w:val="24"/>
                <w:szCs w:val="24"/>
              </w:rPr>
              <w:t>依据《中等职业学校信息技术课程标准》开设，并注重在职业模块的教学内容中体现专业特色。</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1.坚持立德树人，聚焦核心素养。要为学生创设感知和体验信息技术的应用情境，引导学生将问题与技术融合关联，找出解决方案，提炼计算思维的形成过程和表现形式，将其作为实施项目教学的线索，引导学生在解决问题的过程中经历分析思考、实践验证、反馈调整、逐步形成计算思维。</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2.立足岗位需求，培养信息能力。结合学生专业，与学生职业发展需求深度融合，以实践项目为引领，以典型任务为驱动，实施行动导向教学，引导学生关联信息技术与职业知识，掌握岗位和任务情境中运用信息技术解决问题的综合技能。</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3.体现职业教育特点，注重实践技能训练。基础模块打好信息素养基础，分层实施知识性教学，注重运用信息工具强化实践技能训练和解决生产生活问题。拓展模块强化职业岗位情境中的实践技能训练，熟练运用信息技术完成相关的职业任务，培养所需的综合与迁移能力。</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4.创设数字化学习情境，强化自主学习与创新能力。积极运用信息化教学理念，创设以学生为中心的数字化学习情境，有机融合各种教学要素，合理设计教学环节，加强教学全过程的信息采集与诊断分析，鼓励学生积极进行数字化学习与创新实践，促进教与学的立体互动。</w:t>
            </w:r>
          </w:p>
        </w:tc>
        <w:tc>
          <w:tcPr>
            <w:tcW w:w="444"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p>
          <w:p>
            <w:pPr>
              <w:spacing w:line="300" w:lineRule="exact"/>
              <w:jc w:val="center"/>
              <w:rPr>
                <w:rFonts w:ascii="仿宋_GB2312" w:eastAsia="仿宋_GB2312"/>
                <w:sz w:val="24"/>
                <w:szCs w:val="24"/>
              </w:rPr>
            </w:pPr>
          </w:p>
          <w:p>
            <w:pPr>
              <w:spacing w:line="300" w:lineRule="exact"/>
              <w:jc w:val="center"/>
              <w:rPr>
                <w:rFonts w:ascii="仿宋_GB2312" w:eastAsia="仿宋_GB2312"/>
                <w:sz w:val="24"/>
                <w:szCs w:val="24"/>
              </w:rPr>
            </w:pPr>
          </w:p>
          <w:p>
            <w:pPr>
              <w:spacing w:line="300" w:lineRule="exact"/>
              <w:jc w:val="center"/>
              <w:rPr>
                <w:rFonts w:ascii="仿宋_GB2312" w:eastAsia="仿宋_GB2312"/>
                <w:sz w:val="24"/>
                <w:szCs w:val="24"/>
              </w:rPr>
            </w:pPr>
          </w:p>
          <w:p>
            <w:pPr>
              <w:spacing w:line="300" w:lineRule="exact"/>
              <w:jc w:val="center"/>
              <w:rPr>
                <w:rFonts w:ascii="仿宋_GB2312" w:eastAsia="仿宋_GB2312"/>
                <w:sz w:val="24"/>
                <w:szCs w:val="24"/>
              </w:rPr>
            </w:pPr>
          </w:p>
          <w:p>
            <w:pPr>
              <w:spacing w:line="300" w:lineRule="exact"/>
              <w:jc w:val="center"/>
              <w:rPr>
                <w:rFonts w:ascii="仿宋_GB2312" w:eastAsia="仿宋_GB2312"/>
                <w:sz w:val="20"/>
                <w:szCs w:val="20"/>
              </w:rPr>
            </w:pPr>
            <w:r>
              <w:rPr>
                <w:rFonts w:hint="eastAsia" w:ascii="仿宋_GB2312" w:eastAsia="仿宋_GB2312"/>
                <w:sz w:val="20"/>
                <w:szCs w:val="20"/>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9</w:t>
            </w:r>
          </w:p>
        </w:tc>
        <w:tc>
          <w:tcPr>
            <w:tcW w:w="43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体育与健康</w:t>
            </w:r>
          </w:p>
        </w:tc>
        <w:tc>
          <w:tcPr>
            <w:tcW w:w="3721" w:type="pct"/>
            <w:tcBorders>
              <w:top w:val="single" w:color="auto" w:sz="4" w:space="0"/>
              <w:left w:val="nil"/>
              <w:bottom w:val="single" w:color="auto" w:sz="4" w:space="0"/>
              <w:right w:val="single" w:color="auto" w:sz="4" w:space="0"/>
            </w:tcBorders>
            <w:vAlign w:val="center"/>
          </w:tcPr>
          <w:p>
            <w:pPr>
              <w:spacing w:line="300" w:lineRule="exact"/>
              <w:ind w:firstLine="240" w:firstLineChars="100"/>
              <w:rPr>
                <w:rFonts w:ascii="仿宋_GB2312" w:eastAsia="仿宋_GB2312"/>
                <w:sz w:val="24"/>
                <w:szCs w:val="24"/>
              </w:rPr>
            </w:pPr>
            <w:r>
              <w:rPr>
                <w:rFonts w:hint="eastAsia" w:ascii="仿宋_GB2312" w:eastAsia="仿宋_GB2312"/>
                <w:sz w:val="24"/>
                <w:szCs w:val="24"/>
              </w:rPr>
              <w:t>依据《中等职业学校体育与健康课程标准》开设，并与专业实际和行业发展密切结合。</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1.坚持立德树人，发挥体育独特的育人功能。教师应加强对学生体育精神和体育品格的培养，培养团队合作意识和组织能力，体现中华优秀体育文化的精髓和内容，将体育教学过程变为目标、内容和方法有机融合的综合教学过程。</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2.遵循体育教学规律，提高学生运动能力。教师应加强运动技能形成的学理研究，具有难度递进的意识，优化设计运动技能模块的教学过程。要研究在技能教学中渗透学习知识或原理的方法，探索知识和实践活动有机结合的方法。保证运动负荷，提高学生课堂学习效果。</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3.把握课程结构，注重教学的整体设计。教师要把体育安全放在首位，通过项目模块选修、分组教学和分层教学等方法，因材施教，力争每个学生学有所获，学有所乐。掌握并运用各项体育素质的基本原理和练习方法，采用多样方式进行体能教学。要根据所学内容与学生实际，有效利用信息资源，丰富和拓展健康知识。</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4.强化职业教育特色，提高职业体能教学实践的针对性。根据体制健康标准，结合学生现状，采用多种锻炼方法，提升学生体能，指导学生自我评价体能锻炼效果和改进计划。讨论研究常见职业性疾病的防治、职业安全等主题。</w:t>
            </w:r>
          </w:p>
        </w:tc>
        <w:tc>
          <w:tcPr>
            <w:tcW w:w="444"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0"/>
                <w:szCs w:val="20"/>
              </w:rPr>
            </w:pPr>
            <w:r>
              <w:rPr>
                <w:rFonts w:hint="eastAsia" w:ascii="仿宋_GB2312" w:eastAsia="仿宋_GB2312"/>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trPr>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10</w:t>
            </w:r>
          </w:p>
        </w:tc>
        <w:tc>
          <w:tcPr>
            <w:tcW w:w="43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艺术</w:t>
            </w:r>
          </w:p>
        </w:tc>
        <w:tc>
          <w:tcPr>
            <w:tcW w:w="3721" w:type="pct"/>
            <w:tcBorders>
              <w:top w:val="single" w:color="auto" w:sz="4" w:space="0"/>
              <w:left w:val="nil"/>
              <w:bottom w:val="single" w:color="auto" w:sz="4" w:space="0"/>
              <w:right w:val="single" w:color="auto" w:sz="4" w:space="0"/>
            </w:tcBorders>
            <w:vAlign w:val="center"/>
          </w:tcPr>
          <w:p>
            <w:pPr>
              <w:spacing w:line="300" w:lineRule="exact"/>
              <w:ind w:firstLine="240" w:firstLineChars="100"/>
              <w:rPr>
                <w:rFonts w:ascii="仿宋_GB2312" w:eastAsia="仿宋_GB2312"/>
                <w:sz w:val="24"/>
                <w:szCs w:val="24"/>
              </w:rPr>
            </w:pPr>
            <w:r>
              <w:rPr>
                <w:rFonts w:hint="eastAsia" w:ascii="仿宋_GB2312" w:eastAsia="仿宋_GB2312"/>
                <w:sz w:val="24"/>
                <w:szCs w:val="24"/>
              </w:rPr>
              <w:t>依据《中等职业学校公共艺术课程标准》开设，并与专业实际和行业发展密切结合。</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1.通过课程学习，参与艺术实践活动，掌握必备的艺术知识和表现技能。运用观赏、体验、联系、比较、讨论等方法，感受艺术作品的形象及情感表现，识别不同艺术的表现特征和风格特点，体会不同地域、不同时代艺术的风采。</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2.结合艺术情境，依据艺术原理和其他知识对艺术作品和现实中的审美对象进行描述、分析、解释和判断，丰富审美经验，增强审美理解，提高审美判断能力，陶冶道德情操，塑造美好心灵，形成健康的审美情趣。</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3.根据一个主题或一项任务，运用特定媒介、材料和艺术表现手段或方法进行创意表达，尝试解决学习、工作和生活中的问题，美化生活，具有创新意识与表现能力。</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4.从文化的角度分析和理解作品，认识文化与艺术的关系，了解中国文化的源远流长和博大精深，热爱中华优秀文化，增进文化认同，坚定文化自信，尊重人类文化的多样性。</w:t>
            </w:r>
          </w:p>
        </w:tc>
        <w:tc>
          <w:tcPr>
            <w:tcW w:w="444"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0"/>
                <w:szCs w:val="20"/>
              </w:rPr>
            </w:pPr>
            <w:r>
              <w:rPr>
                <w:rFonts w:hint="eastAsia" w:ascii="仿宋_GB2312" w:eastAsia="仿宋_GB2312"/>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11</w:t>
            </w:r>
          </w:p>
        </w:tc>
        <w:tc>
          <w:tcPr>
            <w:tcW w:w="43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历史</w:t>
            </w:r>
          </w:p>
        </w:tc>
        <w:tc>
          <w:tcPr>
            <w:tcW w:w="3721" w:type="pct"/>
            <w:tcBorders>
              <w:top w:val="single" w:color="auto" w:sz="4" w:space="0"/>
              <w:left w:val="nil"/>
              <w:bottom w:val="single" w:color="auto" w:sz="4" w:space="0"/>
              <w:right w:val="single" w:color="auto" w:sz="4" w:space="0"/>
            </w:tcBorders>
            <w:vAlign w:val="center"/>
          </w:tcPr>
          <w:p>
            <w:pPr>
              <w:spacing w:line="300" w:lineRule="exact"/>
              <w:ind w:firstLine="240" w:firstLineChars="100"/>
              <w:rPr>
                <w:rFonts w:ascii="仿宋_GB2312" w:eastAsia="仿宋_GB2312"/>
                <w:sz w:val="24"/>
                <w:szCs w:val="24"/>
              </w:rPr>
            </w:pPr>
            <w:r>
              <w:rPr>
                <w:rFonts w:hint="eastAsia" w:ascii="仿宋_GB2312" w:eastAsia="仿宋_GB2312"/>
                <w:sz w:val="24"/>
                <w:szCs w:val="24"/>
              </w:rPr>
              <w:t>依据《中等职业学校历史课程标准》开设，并与专业实际和行业发展密切结合。</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1.基于历史学科核心素养设计教学。结合不同教学内容所蕴含的历史学科核心素养的不同方面，合理设计教学目标、教学过程、教学评价，既注重对某一核心素养的专门培养，也注重对学科核心素养的综合培养。</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2.倡导多元化的教学方式。结合教学内容，创新教学形式、教学过程和教学方法；鼓励学生开展自主学习、探究学习和合作学习，在做中教、做中学，调动和发挥学生学习的积极性、主动性和创造性。</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3.注重历史学习与学生职业发展的融合。教师应结合专业人才培养方案，创设与行业、专业相近的教学情境，设计体验未来职场的教学活动，探索课堂教学与专业实习实训相融合的教学模式。</w:t>
            </w:r>
          </w:p>
          <w:p>
            <w:pPr>
              <w:spacing w:line="300" w:lineRule="exact"/>
              <w:ind w:firstLine="240" w:firstLineChars="100"/>
              <w:rPr>
                <w:rFonts w:ascii="仿宋_GB2312" w:eastAsia="仿宋_GB2312"/>
                <w:sz w:val="24"/>
                <w:szCs w:val="24"/>
              </w:rPr>
            </w:pPr>
            <w:r>
              <w:rPr>
                <w:rFonts w:hint="eastAsia" w:ascii="仿宋_GB2312" w:eastAsia="仿宋_GB2312"/>
                <w:sz w:val="24"/>
                <w:szCs w:val="24"/>
              </w:rPr>
              <w:t>4.加强现代信息技术在教学中的应用。教师应有效运用现代信息技术，创设历史情境，指导学生充分利用各种信息资源，开展基于网络的自主学习，教师实时、动态监测与评价学习过程与结果，提供及时和针对性的指导，促进深度学习。</w:t>
            </w:r>
          </w:p>
        </w:tc>
        <w:tc>
          <w:tcPr>
            <w:tcW w:w="444"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2</w:t>
            </w:r>
          </w:p>
        </w:tc>
        <w:tc>
          <w:tcPr>
            <w:tcW w:w="431"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劳动教育</w:t>
            </w:r>
          </w:p>
        </w:tc>
        <w:tc>
          <w:tcPr>
            <w:tcW w:w="3721" w:type="pct"/>
            <w:tcBorders>
              <w:top w:val="single" w:color="auto" w:sz="4" w:space="0"/>
              <w:left w:val="nil"/>
              <w:bottom w:val="single" w:color="auto" w:sz="4" w:space="0"/>
              <w:right w:val="single" w:color="auto" w:sz="4" w:space="0"/>
            </w:tcBorders>
            <w:vAlign w:val="center"/>
          </w:tcPr>
          <w:p>
            <w:pPr>
              <w:spacing w:line="300" w:lineRule="exact"/>
              <w:ind w:firstLine="240" w:firstLineChars="100"/>
              <w:rPr>
                <w:rFonts w:ascii="仿宋_GB2312" w:eastAsia="仿宋_GB2312"/>
                <w:sz w:val="24"/>
                <w:szCs w:val="24"/>
              </w:rPr>
            </w:pPr>
            <w:r>
              <w:rPr>
                <w:rFonts w:hint="eastAsia" w:ascii="仿宋_GB2312" w:eastAsia="仿宋_GB2312"/>
                <w:sz w:val="24"/>
                <w:szCs w:val="24"/>
              </w:rPr>
              <w:t>依据《中等职业学校劳动教育课程标准》开设，并与专业实际密切结合。</w:t>
            </w:r>
          </w:p>
          <w:p>
            <w:pPr>
              <w:numPr>
                <w:ilvl w:val="0"/>
                <w:numId w:val="3"/>
              </w:numPr>
              <w:spacing w:line="300" w:lineRule="exact"/>
              <w:ind w:firstLine="480" w:firstLineChars="200"/>
              <w:rPr>
                <w:rFonts w:ascii="仿宋_GB2312" w:eastAsia="仿宋_GB2312"/>
                <w:sz w:val="24"/>
                <w:szCs w:val="24"/>
              </w:rPr>
            </w:pPr>
            <w:r>
              <w:rPr>
                <w:rFonts w:hint="eastAsia" w:ascii="仿宋_GB2312" w:eastAsia="仿宋_GB2312"/>
                <w:sz w:val="24"/>
                <w:szCs w:val="24"/>
              </w:rPr>
              <w:t>掌握马克思主义劳动观，掌握劳动精神，工匠精神。</w:t>
            </w:r>
          </w:p>
          <w:p>
            <w:pPr>
              <w:numPr>
                <w:ilvl w:val="0"/>
                <w:numId w:val="3"/>
              </w:numPr>
              <w:spacing w:line="300" w:lineRule="exact"/>
              <w:ind w:firstLine="480" w:firstLineChars="200"/>
              <w:rPr>
                <w:rFonts w:ascii="仿宋_GB2312" w:eastAsia="仿宋_GB2312"/>
                <w:sz w:val="24"/>
                <w:szCs w:val="24"/>
              </w:rPr>
            </w:pPr>
            <w:r>
              <w:rPr>
                <w:rFonts w:hint="eastAsia" w:ascii="仿宋_GB2312" w:eastAsia="仿宋_GB2312"/>
                <w:sz w:val="24"/>
                <w:szCs w:val="24"/>
              </w:rPr>
              <w:t>能正确选择劳动工具的能力，学会沟通协调，开展团队合作。</w:t>
            </w:r>
          </w:p>
          <w:p>
            <w:pPr>
              <w:numPr>
                <w:ilvl w:val="0"/>
                <w:numId w:val="3"/>
              </w:numPr>
              <w:spacing w:line="300" w:lineRule="exact"/>
              <w:ind w:firstLine="480" w:firstLineChars="200"/>
              <w:rPr>
                <w:rFonts w:ascii="仿宋_GB2312" w:eastAsia="仿宋_GB2312"/>
                <w:sz w:val="24"/>
                <w:szCs w:val="24"/>
              </w:rPr>
            </w:pPr>
            <w:r>
              <w:rPr>
                <w:rFonts w:hint="eastAsia" w:ascii="仿宋_GB2312" w:eastAsia="仿宋_GB2312"/>
                <w:sz w:val="24"/>
                <w:szCs w:val="24"/>
              </w:rPr>
              <w:t>崇尚劳动，热爱一线劳动，珍惜劳动成果。</w:t>
            </w:r>
          </w:p>
          <w:p>
            <w:pPr>
              <w:numPr>
                <w:ilvl w:val="0"/>
                <w:numId w:val="3"/>
              </w:numPr>
              <w:spacing w:line="300" w:lineRule="exact"/>
              <w:ind w:firstLine="480" w:firstLineChars="200"/>
              <w:rPr>
                <w:rFonts w:ascii="仿宋_GB2312" w:eastAsia="仿宋_GB2312"/>
                <w:sz w:val="24"/>
                <w:szCs w:val="24"/>
              </w:rPr>
            </w:pPr>
            <w:r>
              <w:rPr>
                <w:rFonts w:hint="eastAsia" w:ascii="仿宋_GB2312" w:eastAsia="仿宋_GB2312"/>
                <w:sz w:val="24"/>
                <w:szCs w:val="24"/>
              </w:rPr>
              <w:t>掌握劳动对中职学生全面发展的意义，具体掌握日常生活劳动、服务性；劳动对中职学生成长的意义，掌握日常生活劳动，服务性劳动要求及安全注意事项。</w:t>
            </w:r>
          </w:p>
        </w:tc>
        <w:tc>
          <w:tcPr>
            <w:tcW w:w="444" w:type="pct"/>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4</w:t>
            </w:r>
          </w:p>
          <w:p>
            <w:pPr>
              <w:spacing w:line="300" w:lineRule="exact"/>
              <w:jc w:val="center"/>
              <w:rPr>
                <w:rFonts w:ascii="仿宋_GB2312" w:eastAsia="仿宋_GB2312"/>
                <w:sz w:val="24"/>
                <w:szCs w:val="24"/>
              </w:rPr>
            </w:pPr>
          </w:p>
        </w:tc>
      </w:tr>
    </w:tbl>
    <w:p>
      <w:pPr>
        <w:keepNext/>
        <w:keepLines/>
        <w:widowControl/>
        <w:spacing w:before="190" w:beforeLines="50" w:after="190" w:afterLines="50" w:line="500" w:lineRule="exact"/>
        <w:jc w:val="left"/>
        <w:outlineLvl w:val="1"/>
        <w:rPr>
          <w:rFonts w:ascii="仿宋" w:hAnsi="黑体" w:eastAsia="黑体" w:cs="Times New Roman"/>
          <w:b/>
          <w:bCs/>
          <w:sz w:val="30"/>
          <w:szCs w:val="32"/>
        </w:rPr>
      </w:pPr>
      <w:bookmarkStart w:id="84" w:name="_Toc10420"/>
      <w:bookmarkEnd w:id="84"/>
      <w:bookmarkStart w:id="85" w:name="_Toc40343069"/>
      <w:bookmarkEnd w:id="85"/>
      <w:bookmarkStart w:id="86" w:name="_Toc40345209"/>
      <w:bookmarkEnd w:id="86"/>
      <w:bookmarkStart w:id="87" w:name="_Toc86244984"/>
      <w:bookmarkEnd w:id="87"/>
      <w:bookmarkStart w:id="88" w:name="_Toc89266108"/>
      <w:r>
        <w:rPr>
          <w:rFonts w:hint="eastAsia" w:ascii="仿宋" w:hAnsi="仿宋" w:eastAsia="黑体" w:cstheme="majorBidi"/>
          <w:b/>
          <w:bCs/>
          <w:sz w:val="30"/>
          <w:szCs w:val="32"/>
        </w:rPr>
        <w:t>（二）专业课程</w:t>
      </w:r>
      <w:bookmarkEnd w:id="88"/>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专业课程分为专业核心课和专业技能课。</w:t>
      </w:r>
    </w:p>
    <w:p>
      <w:pPr>
        <w:keepNext/>
        <w:keepLines/>
        <w:widowControl/>
        <w:spacing w:before="190" w:beforeLines="50" w:after="190" w:afterLines="50" w:line="500" w:lineRule="exact"/>
        <w:jc w:val="left"/>
        <w:outlineLvl w:val="2"/>
        <w:rPr>
          <w:rFonts w:ascii="仿宋" w:hAnsi="仿宋" w:eastAsia="黑体"/>
          <w:b/>
          <w:bCs/>
          <w:sz w:val="30"/>
          <w:szCs w:val="32"/>
        </w:rPr>
      </w:pPr>
      <w:bookmarkStart w:id="89" w:name="_Hlk85206055"/>
      <w:bookmarkEnd w:id="89"/>
      <w:r>
        <w:rPr>
          <w:rFonts w:hint="eastAsia" w:ascii="仿宋" w:hAnsi="仿宋" w:eastAsia="黑体"/>
          <w:b/>
          <w:bCs/>
          <w:sz w:val="30"/>
          <w:szCs w:val="32"/>
        </w:rPr>
        <w:t>1、专业核心课</w:t>
      </w:r>
    </w:p>
    <w:p>
      <w:pPr>
        <w:widowControl/>
        <w:spacing w:line="360" w:lineRule="auto"/>
        <w:ind w:left="1280" w:firstLine="602" w:firstLineChars="200"/>
        <w:rPr>
          <w:rFonts w:hint="eastAsia" w:ascii="黑体" w:hAnsi="黑体" w:eastAsia="黑体" w:cs="Times New Roman"/>
          <w:b/>
          <w:bCs/>
          <w:kern w:val="0"/>
          <w:sz w:val="30"/>
          <w:szCs w:val="30"/>
        </w:rPr>
      </w:pPr>
      <w:r>
        <w:rPr>
          <w:rFonts w:hint="eastAsia" w:ascii="黑体" w:hAnsi="黑体" w:eastAsia="黑体" w:cs="Times New Roman"/>
          <w:b/>
          <w:bCs/>
          <w:kern w:val="0"/>
          <w:sz w:val="30"/>
          <w:szCs w:val="30"/>
        </w:rPr>
        <w:t>专业核心课程目安排及课程简介</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27"/>
        <w:gridCol w:w="4327"/>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trPr>
        <w:tc>
          <w:tcPr>
            <w:tcW w:w="24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序号</w:t>
            </w:r>
          </w:p>
        </w:tc>
        <w:tc>
          <w:tcPr>
            <w:tcW w:w="49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课程名称</w:t>
            </w:r>
          </w:p>
        </w:tc>
        <w:tc>
          <w:tcPr>
            <w:tcW w:w="230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课程目标和教学要求</w:t>
            </w:r>
          </w:p>
        </w:tc>
        <w:tc>
          <w:tcPr>
            <w:tcW w:w="196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1</w:t>
            </w:r>
          </w:p>
        </w:tc>
        <w:tc>
          <w:tcPr>
            <w:tcW w:w="49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基础会计</w:t>
            </w:r>
          </w:p>
        </w:tc>
        <w:tc>
          <w:tcPr>
            <w:tcW w:w="230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华文仿宋" w:eastAsia="仿宋_GB2312" w:cs="宋体"/>
                <w:kern w:val="0"/>
                <w:sz w:val="24"/>
                <w:szCs w:val="24"/>
              </w:rPr>
            </w:pPr>
            <w:r>
              <w:rPr>
                <w:rFonts w:hint="eastAsia" w:ascii="仿宋_GB2312" w:hAnsi="华文仿宋" w:eastAsia="仿宋_GB2312" w:cs="宋体"/>
                <w:kern w:val="0"/>
                <w:sz w:val="24"/>
                <w:szCs w:val="24"/>
              </w:rPr>
              <w:t>本课程要使学生了解会计工作的环境和职业道德，认识会计工作的一般流程，理解会计要素、会计等式和复式记账法的基本原理，掌握填制和审核凭证、登记账簿和编制会计报表，具备会计核算和监督能力，培养爱岗敬业、诚实守信、廉洁自律、客观公正的会计职业态度，为将来从事财务或相关工作打下坚实的基础。</w:t>
            </w:r>
          </w:p>
          <w:p>
            <w:pPr>
              <w:widowControl/>
              <w:spacing w:line="300" w:lineRule="exact"/>
              <w:rPr>
                <w:rFonts w:ascii="仿宋_GB2312" w:hAnsi="华文仿宋" w:eastAsia="仿宋_GB2312" w:cs="宋体"/>
                <w:kern w:val="0"/>
                <w:sz w:val="24"/>
                <w:szCs w:val="24"/>
              </w:rPr>
            </w:pPr>
          </w:p>
        </w:tc>
        <w:tc>
          <w:tcPr>
            <w:tcW w:w="196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华文仿宋" w:eastAsia="仿宋_GB2312" w:cs="宋体"/>
                <w:kern w:val="0"/>
                <w:sz w:val="24"/>
                <w:szCs w:val="24"/>
              </w:rPr>
            </w:pPr>
            <w:r>
              <w:rPr>
                <w:rFonts w:hint="eastAsia" w:ascii="仿宋_GB2312" w:hAnsi="华文仿宋" w:eastAsia="仿宋_GB2312" w:cs="宋体"/>
                <w:kern w:val="0"/>
                <w:sz w:val="24"/>
                <w:szCs w:val="24"/>
              </w:rPr>
              <w:t>主要内容包括：基础会计概述，会计要素及平衡公式，账户和复式记账，会计凭证，会计账簿，主要经济业务的核算，财产清查，会计核算程序，财务会计报告。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2</w:t>
            </w:r>
          </w:p>
        </w:tc>
        <w:tc>
          <w:tcPr>
            <w:tcW w:w="49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市场营销知识</w:t>
            </w:r>
          </w:p>
        </w:tc>
        <w:tc>
          <w:tcPr>
            <w:tcW w:w="230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华文仿宋" w:eastAsia="仿宋_GB2312" w:cs="宋体"/>
                <w:kern w:val="0"/>
                <w:sz w:val="24"/>
                <w:szCs w:val="24"/>
              </w:rPr>
            </w:pPr>
            <w:r>
              <w:rPr>
                <w:rFonts w:hint="eastAsia" w:ascii="仿宋_GB2312" w:hAnsi="华文仿宋" w:eastAsia="仿宋_GB2312" w:cs="宋体"/>
                <w:kern w:val="0"/>
                <w:sz w:val="24"/>
                <w:szCs w:val="24"/>
              </w:rPr>
              <w:t>通过本课程的学习，使学生掌握市场营销学的基本理论和基本方法，明确市场营销中产品策略、价格策略、分销策略、促销策略的基本内容和主要特点，并能结合相关案例进行分析、研究，培养学生在市场营销方面的应用能力和创新能力。</w:t>
            </w:r>
          </w:p>
        </w:tc>
        <w:tc>
          <w:tcPr>
            <w:tcW w:w="196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华文仿宋" w:eastAsia="仿宋_GB2312" w:cs="宋体"/>
                <w:kern w:val="0"/>
                <w:sz w:val="24"/>
                <w:szCs w:val="24"/>
              </w:rPr>
            </w:pPr>
            <w:r>
              <w:rPr>
                <w:rFonts w:hint="eastAsia" w:ascii="仿宋_GB2312" w:hAnsi="华文仿宋" w:eastAsia="仿宋_GB2312" w:cs="宋体"/>
                <w:kern w:val="0"/>
                <w:sz w:val="24"/>
                <w:szCs w:val="24"/>
              </w:rPr>
              <w:t>主要内容包括：市场营销概述，市场营销环境分析，市场分析，市场营销调研和预测，市场细分和目标市场，产品策略，定价策略，分销策略，促销策略。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3</w:t>
            </w:r>
          </w:p>
        </w:tc>
        <w:tc>
          <w:tcPr>
            <w:tcW w:w="49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经济法律法规</w:t>
            </w:r>
          </w:p>
        </w:tc>
        <w:tc>
          <w:tcPr>
            <w:tcW w:w="230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华文仿宋" w:eastAsia="仿宋_GB2312" w:cs="宋体"/>
                <w:kern w:val="0"/>
                <w:sz w:val="24"/>
                <w:szCs w:val="24"/>
              </w:rPr>
            </w:pPr>
            <w:r>
              <w:rPr>
                <w:rFonts w:hint="eastAsia" w:ascii="仿宋_GB2312" w:hAnsi="华文仿宋" w:eastAsia="仿宋_GB2312" w:cs="宋体"/>
                <w:kern w:val="0"/>
                <w:sz w:val="24"/>
                <w:szCs w:val="24"/>
              </w:rPr>
              <w:t>通过本课程学习和训练，能使学生理解并应用一些经济法的基础知识；熟悉一些常有的重要经济法律、法规的基础内容；增强法制观念并初步运用自己所学过的法律知识观察、分析、处理有关实际问题的能力。</w:t>
            </w:r>
          </w:p>
        </w:tc>
        <w:tc>
          <w:tcPr>
            <w:tcW w:w="196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华文仿宋" w:eastAsia="仿宋_GB2312" w:cs="宋体"/>
                <w:kern w:val="0"/>
                <w:sz w:val="24"/>
                <w:szCs w:val="24"/>
              </w:rPr>
            </w:pPr>
            <w:r>
              <w:rPr>
                <w:rFonts w:hint="eastAsia" w:ascii="仿宋_GB2312" w:hAnsi="华文仿宋" w:eastAsia="仿宋_GB2312" w:cs="宋体"/>
                <w:kern w:val="0"/>
                <w:sz w:val="24"/>
                <w:szCs w:val="24"/>
              </w:rPr>
              <w:t>主要内容包括：经济法律法规基本知识，公司法律制度，中小企业法律制度，合同法律制度，金融法律制度，会计法律制度，税收法律制度，其他经济法律制度。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4</w:t>
            </w:r>
          </w:p>
        </w:tc>
        <w:tc>
          <w:tcPr>
            <w:tcW w:w="49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企业财务会计</w:t>
            </w:r>
          </w:p>
        </w:tc>
        <w:tc>
          <w:tcPr>
            <w:tcW w:w="230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华文仿宋" w:eastAsia="仿宋_GB2312" w:cs="宋体"/>
                <w:kern w:val="0"/>
                <w:sz w:val="24"/>
                <w:szCs w:val="24"/>
              </w:rPr>
            </w:pPr>
            <w:r>
              <w:rPr>
                <w:rFonts w:hint="eastAsia" w:ascii="仿宋_GB2312" w:hAnsi="华文仿宋" w:eastAsia="仿宋_GB2312" w:cs="宋体"/>
                <w:kern w:val="0"/>
                <w:sz w:val="24"/>
                <w:szCs w:val="24"/>
              </w:rPr>
              <w:t>通过本课程的学习和训练，能够使学生比较系统地全面地掌握财务会计的基本理论、基本方法和基本；强化学生财务会计实践、操作等动手能力训练，培养学生独立进行财务会计实务操作能力；能够运用所学知识进行企业财务会计核算工作。</w:t>
            </w:r>
          </w:p>
          <w:p>
            <w:pPr>
              <w:widowControl/>
              <w:spacing w:line="300" w:lineRule="exact"/>
              <w:rPr>
                <w:rFonts w:ascii="仿宋_GB2312" w:hAnsi="华文仿宋" w:eastAsia="仿宋_GB2312" w:cs="宋体"/>
                <w:kern w:val="0"/>
                <w:sz w:val="24"/>
                <w:szCs w:val="24"/>
              </w:rPr>
            </w:pPr>
          </w:p>
        </w:tc>
        <w:tc>
          <w:tcPr>
            <w:tcW w:w="196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华文仿宋" w:eastAsia="仿宋_GB2312" w:cs="宋体"/>
                <w:kern w:val="0"/>
                <w:sz w:val="24"/>
                <w:szCs w:val="24"/>
              </w:rPr>
            </w:pPr>
            <w:r>
              <w:rPr>
                <w:rFonts w:hint="eastAsia" w:ascii="仿宋_GB2312" w:hAnsi="华文仿宋" w:eastAsia="仿宋_GB2312" w:cs="宋体"/>
                <w:kern w:val="0"/>
                <w:sz w:val="24"/>
                <w:szCs w:val="24"/>
              </w:rPr>
              <w:t>主要内容包括：企业财务会计概述，货币资金，应收及预付款项，存货，固定资产，无形资产和长期待摊费用，流动负债和非流动负债，所有者权益，收入、费用和利润，财务报表。</w:t>
            </w:r>
          </w:p>
        </w:tc>
      </w:tr>
    </w:tbl>
    <w:p>
      <w:pPr>
        <w:keepNext/>
        <w:keepLines/>
        <w:widowControl/>
        <w:numPr>
          <w:ilvl w:val="0"/>
          <w:numId w:val="2"/>
        </w:numPr>
        <w:spacing w:before="190" w:beforeLines="50" w:after="190" w:afterLines="50" w:line="500" w:lineRule="exact"/>
        <w:ind w:left="0" w:leftChars="0" w:firstLine="0" w:firstLineChars="0"/>
        <w:jc w:val="left"/>
        <w:outlineLvl w:val="2"/>
        <w:rPr>
          <w:rFonts w:hint="eastAsia" w:ascii="仿宋" w:hAnsi="仿宋" w:eastAsia="黑体"/>
          <w:b/>
          <w:bCs/>
          <w:sz w:val="30"/>
          <w:szCs w:val="32"/>
        </w:rPr>
      </w:pPr>
      <w:r>
        <w:rPr>
          <w:rFonts w:hint="eastAsia" w:ascii="仿宋" w:hAnsi="仿宋" w:eastAsia="黑体"/>
          <w:b/>
          <w:bCs/>
          <w:sz w:val="30"/>
          <w:szCs w:val="32"/>
        </w:rPr>
        <w:t>专业技能课</w:t>
      </w:r>
    </w:p>
    <w:tbl>
      <w:tblPr>
        <w:tblStyle w:val="53"/>
        <w:tblpPr w:leftFromText="180" w:rightFromText="180" w:vertAnchor="text" w:horzAnchor="page" w:tblpX="1800" w:tblpY="384"/>
        <w:tblOverlap w:val="never"/>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203"/>
        <w:gridCol w:w="3914"/>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序号</w:t>
            </w:r>
          </w:p>
        </w:tc>
        <w:tc>
          <w:tcPr>
            <w:tcW w:w="64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课程名称</w:t>
            </w:r>
          </w:p>
        </w:tc>
        <w:tc>
          <w:tcPr>
            <w:tcW w:w="210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课程目标和教学要求</w:t>
            </w:r>
          </w:p>
        </w:tc>
        <w:tc>
          <w:tcPr>
            <w:tcW w:w="198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1</w:t>
            </w:r>
          </w:p>
        </w:tc>
        <w:tc>
          <w:tcPr>
            <w:tcW w:w="64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基础会计实训</w:t>
            </w:r>
          </w:p>
        </w:tc>
        <w:tc>
          <w:tcPr>
            <w:tcW w:w="210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华文仿宋" w:eastAsia="仿宋_GB2312" w:cs="宋体"/>
                <w:kern w:val="0"/>
                <w:sz w:val="24"/>
                <w:szCs w:val="24"/>
              </w:rPr>
            </w:pPr>
            <w:r>
              <w:rPr>
                <w:rFonts w:hint="eastAsia" w:ascii="仿宋_GB2312" w:hAnsi="华文仿宋" w:eastAsia="仿宋_GB2312" w:cs="宋体"/>
                <w:kern w:val="0"/>
                <w:sz w:val="24"/>
                <w:szCs w:val="24"/>
              </w:rPr>
              <w:t>通过学习和训练，不仅能使每位学生扎实地掌握填制和审核原始凭证与记账凭证、登记账簿、成本计算和编制会计报表的全部会计工作流程的技能和方法，而且能够以切身的感受初尝出纳员、材料核算员、成本核算员、记账员、报税员、主管会计等会计岗位的具体工作岗位的艰辛与快乐，从而对工业企业会计核算全过程有一个比较连续、系统、完整和全面的认识，最终使学生达到对会计专业理论和实践方法融会贯通的目的。</w:t>
            </w:r>
          </w:p>
          <w:p>
            <w:pPr>
              <w:widowControl/>
              <w:spacing w:line="360" w:lineRule="exact"/>
              <w:rPr>
                <w:rFonts w:ascii="仿宋_GB2312" w:hAnsi="华文仿宋" w:eastAsia="仿宋_GB2312" w:cs="宋体"/>
                <w:b/>
                <w:kern w:val="0"/>
                <w:sz w:val="24"/>
                <w:szCs w:val="24"/>
              </w:rPr>
            </w:pPr>
          </w:p>
        </w:tc>
        <w:tc>
          <w:tcPr>
            <w:tcW w:w="1985" w:type="pct"/>
            <w:tcBorders>
              <w:top w:val="single" w:color="auto" w:sz="4" w:space="0"/>
              <w:left w:val="single" w:color="auto" w:sz="4" w:space="0"/>
              <w:bottom w:val="single" w:color="auto" w:sz="4" w:space="0"/>
              <w:right w:val="single" w:color="auto" w:sz="4" w:space="0"/>
            </w:tcBorders>
          </w:tcPr>
          <w:p>
            <w:pPr>
              <w:widowControl/>
              <w:spacing w:line="360" w:lineRule="exact"/>
              <w:rPr>
                <w:rFonts w:ascii="仿宋_GB2312" w:hAnsi="华文仿宋" w:eastAsia="仿宋_GB2312" w:cs="宋体"/>
                <w:b/>
                <w:kern w:val="0"/>
                <w:sz w:val="24"/>
                <w:szCs w:val="24"/>
              </w:rPr>
            </w:pPr>
            <w:r>
              <w:rPr>
                <w:rFonts w:hint="eastAsia" w:ascii="仿宋_GB2312" w:hAnsi="华文仿宋" w:eastAsia="仿宋_GB2312" w:cs="宋体"/>
                <w:kern w:val="0"/>
                <w:sz w:val="24"/>
                <w:szCs w:val="24"/>
              </w:rPr>
              <w:t>主要内容包括：填制会计凭证，编制与审核记账凭证，科目汇总，建账和登账，银行存款余额调节表的编制，会计报表的编制，纳税申报，会计档案整理与装订。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2</w:t>
            </w:r>
          </w:p>
        </w:tc>
        <w:tc>
          <w:tcPr>
            <w:tcW w:w="64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会计基本技能</w:t>
            </w:r>
          </w:p>
        </w:tc>
        <w:tc>
          <w:tcPr>
            <w:tcW w:w="210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华文仿宋" w:eastAsia="仿宋_GB2312" w:cs="宋体"/>
                <w:kern w:val="0"/>
                <w:sz w:val="24"/>
                <w:szCs w:val="24"/>
              </w:rPr>
            </w:pPr>
            <w:r>
              <w:rPr>
                <w:rFonts w:hint="eastAsia" w:ascii="仿宋_GB2312" w:hAnsi="华文仿宋" w:eastAsia="仿宋_GB2312" w:cs="宋体"/>
                <w:kern w:val="0"/>
                <w:sz w:val="24"/>
                <w:szCs w:val="24"/>
              </w:rPr>
              <w:t>通过学习和训练，使学生掌握财会专业所必需的珠算、点钞、小键盘数字录入等电子计算工具应用的基础知识、基本技能和技巧，使学生具备该项技能的初、中级技术水平和操作能力，为学生从事财经工作打下坚实的基础。促进学生智能的发展和优良个性品质的形成，加强学生职业道德观念。</w:t>
            </w:r>
          </w:p>
          <w:p>
            <w:pPr>
              <w:widowControl/>
              <w:spacing w:line="360" w:lineRule="exact"/>
              <w:rPr>
                <w:rFonts w:ascii="仿宋_GB2312" w:hAnsi="华文仿宋" w:eastAsia="仿宋_GB2312" w:cs="宋体"/>
                <w:b/>
                <w:kern w:val="0"/>
                <w:sz w:val="24"/>
                <w:szCs w:val="24"/>
              </w:rPr>
            </w:pPr>
          </w:p>
        </w:tc>
        <w:tc>
          <w:tcPr>
            <w:tcW w:w="1985" w:type="pct"/>
            <w:tcBorders>
              <w:top w:val="single" w:color="auto" w:sz="4" w:space="0"/>
              <w:left w:val="single" w:color="auto" w:sz="4" w:space="0"/>
              <w:bottom w:val="single" w:color="auto" w:sz="4" w:space="0"/>
              <w:right w:val="single" w:color="auto" w:sz="4" w:space="0"/>
            </w:tcBorders>
          </w:tcPr>
          <w:p>
            <w:pPr>
              <w:widowControl/>
              <w:spacing w:line="360" w:lineRule="exact"/>
              <w:rPr>
                <w:rFonts w:ascii="仿宋_GB2312" w:hAnsi="华文仿宋" w:eastAsia="仿宋_GB2312" w:cs="宋体"/>
                <w:b/>
                <w:kern w:val="0"/>
                <w:sz w:val="24"/>
                <w:szCs w:val="24"/>
              </w:rPr>
            </w:pPr>
            <w:r>
              <w:rPr>
                <w:rFonts w:hint="eastAsia" w:ascii="仿宋_GB2312" w:hAnsi="华文仿宋" w:eastAsia="仿宋_GB2312" w:cs="宋体"/>
                <w:kern w:val="0"/>
                <w:sz w:val="24"/>
                <w:szCs w:val="24"/>
              </w:rPr>
              <w:t>主要内容包括：会计数字书写技能，珠算技能，点钞与验钞技能，电子计算工具应用技能。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3</w:t>
            </w:r>
          </w:p>
        </w:tc>
        <w:tc>
          <w:tcPr>
            <w:tcW w:w="64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华文仿宋" w:eastAsia="仿宋_GB2312" w:cs="宋体"/>
                <w:b/>
                <w:kern w:val="0"/>
                <w:sz w:val="24"/>
                <w:szCs w:val="24"/>
              </w:rPr>
            </w:pPr>
            <w:r>
              <w:rPr>
                <w:rFonts w:hint="eastAsia" w:ascii="仿宋_GB2312" w:hAnsi="华文仿宋" w:eastAsia="仿宋_GB2312" w:cs="宋体"/>
                <w:b/>
                <w:kern w:val="0"/>
                <w:sz w:val="24"/>
                <w:szCs w:val="24"/>
              </w:rPr>
              <w:t>会计电算化</w:t>
            </w:r>
          </w:p>
        </w:tc>
        <w:tc>
          <w:tcPr>
            <w:tcW w:w="210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华文仿宋" w:eastAsia="仿宋_GB2312" w:cs="宋体"/>
                <w:kern w:val="0"/>
                <w:sz w:val="24"/>
                <w:szCs w:val="24"/>
              </w:rPr>
            </w:pPr>
            <w:r>
              <w:rPr>
                <w:rFonts w:hint="eastAsia" w:ascii="仿宋_GB2312" w:hAnsi="华文仿宋" w:eastAsia="仿宋_GB2312" w:cs="宋体"/>
                <w:kern w:val="0"/>
                <w:sz w:val="24"/>
                <w:szCs w:val="24"/>
              </w:rPr>
              <w:t>通过学习和训练，使学生学会企业会计信息系统分析与设计的基本原理、电算化会计软件的初始化设置、总账系统、报表系统以及核算子系统的操作方法；能熟练操作该课程所供财会软件的运用方法。教学中注意渗透思想教育，加强学生的诚信教育和职业道德观念。</w:t>
            </w:r>
          </w:p>
          <w:p>
            <w:pPr>
              <w:widowControl/>
              <w:spacing w:line="360" w:lineRule="exact"/>
              <w:rPr>
                <w:rFonts w:ascii="仿宋_GB2312" w:hAnsi="华文仿宋" w:eastAsia="仿宋_GB2312" w:cs="宋体"/>
                <w:b/>
                <w:kern w:val="0"/>
                <w:sz w:val="24"/>
                <w:szCs w:val="24"/>
              </w:rPr>
            </w:pPr>
          </w:p>
        </w:tc>
        <w:tc>
          <w:tcPr>
            <w:tcW w:w="1985" w:type="pct"/>
            <w:tcBorders>
              <w:top w:val="single" w:color="auto" w:sz="4" w:space="0"/>
              <w:left w:val="single" w:color="auto" w:sz="4" w:space="0"/>
              <w:bottom w:val="single" w:color="auto" w:sz="4" w:space="0"/>
              <w:right w:val="single" w:color="auto" w:sz="4" w:space="0"/>
            </w:tcBorders>
          </w:tcPr>
          <w:p>
            <w:pPr>
              <w:widowControl/>
              <w:spacing w:line="360" w:lineRule="exact"/>
              <w:rPr>
                <w:rFonts w:ascii="仿宋_GB2312" w:hAnsi="华文仿宋" w:eastAsia="仿宋_GB2312" w:cs="宋体"/>
                <w:b/>
                <w:kern w:val="0"/>
                <w:sz w:val="24"/>
                <w:szCs w:val="24"/>
              </w:rPr>
            </w:pPr>
            <w:r>
              <w:rPr>
                <w:rFonts w:hint="eastAsia" w:ascii="仿宋_GB2312" w:hAnsi="华文仿宋" w:eastAsia="仿宋_GB2312" w:cs="宋体"/>
                <w:kern w:val="0"/>
                <w:sz w:val="24"/>
                <w:szCs w:val="24"/>
              </w:rPr>
              <w:t>主要内容包括：会计电算化概论，账务处理系统，报表管理系统，工资管理系统，固定资产管理系统，购销存业务管理系统。</w:t>
            </w:r>
          </w:p>
        </w:tc>
      </w:tr>
    </w:tbl>
    <w:p>
      <w:pPr>
        <w:keepNext/>
        <w:keepLines/>
        <w:widowControl/>
        <w:spacing w:before="190" w:beforeLines="50" w:after="190" w:afterLines="50" w:line="360" w:lineRule="auto"/>
        <w:outlineLvl w:val="0"/>
        <w:rPr>
          <w:rFonts w:ascii="黑体" w:hAnsi="黑体" w:eastAsia="黑体" w:cs="Times New Roman"/>
          <w:b/>
          <w:bCs/>
          <w:kern w:val="44"/>
          <w:sz w:val="32"/>
          <w:szCs w:val="32"/>
        </w:rPr>
      </w:pPr>
      <w:bookmarkStart w:id="90" w:name="_Toc86244985"/>
      <w:bookmarkEnd w:id="90"/>
      <w:bookmarkStart w:id="91" w:name="_Toc86244988"/>
      <w:bookmarkEnd w:id="91"/>
      <w:bookmarkStart w:id="92" w:name="_Toc89266110"/>
      <w:r>
        <w:rPr>
          <w:rFonts w:hint="eastAsia" w:ascii="仿宋" w:hAnsi="仿宋" w:eastAsia="黑体"/>
          <w:b/>
          <w:bCs/>
          <w:kern w:val="44"/>
          <w:sz w:val="32"/>
          <w:szCs w:val="44"/>
        </w:rPr>
        <w:t>七、教学进程总体安排</w:t>
      </w:r>
      <w:bookmarkEnd w:id="92"/>
    </w:p>
    <w:p>
      <w:pPr>
        <w:keepNext/>
        <w:keepLines/>
        <w:widowControl/>
        <w:spacing w:before="190" w:beforeLines="50" w:after="190" w:afterLines="50" w:line="500" w:lineRule="exact"/>
        <w:jc w:val="left"/>
        <w:outlineLvl w:val="1"/>
        <w:rPr>
          <w:rFonts w:ascii="仿宋" w:hAnsi="仿宋" w:eastAsia="黑体" w:cstheme="majorBidi"/>
          <w:b/>
          <w:bCs/>
          <w:sz w:val="30"/>
          <w:szCs w:val="32"/>
        </w:rPr>
      </w:pPr>
      <w:bookmarkStart w:id="93" w:name="_Toc86244989"/>
      <w:bookmarkEnd w:id="93"/>
      <w:bookmarkStart w:id="94" w:name="_Hlk85357449"/>
      <w:bookmarkStart w:id="95" w:name="_Toc89266111"/>
      <w:r>
        <w:rPr>
          <w:rFonts w:hint="eastAsia" w:ascii="仿宋" w:hAnsi="仿宋" w:eastAsia="黑体" w:cstheme="majorBidi"/>
          <w:b/>
          <w:bCs/>
          <w:sz w:val="30"/>
          <w:szCs w:val="32"/>
        </w:rPr>
        <w:t>（一）教学时间安排</w:t>
      </w:r>
      <w:bookmarkEnd w:id="94"/>
      <w:bookmarkEnd w:id="95"/>
    </w:p>
    <w:p>
      <w:pPr>
        <w:spacing w:line="4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依据我校会计专业人才培养方案，以强化学生职业道德和职业素质教育为主线，强化教学过程的实践性、开放性和职业性。</w:t>
      </w:r>
    </w:p>
    <w:p>
      <w:pPr>
        <w:pStyle w:val="47"/>
      </w:pPr>
      <w:r>
        <w:rPr>
          <w:rFonts w:hint="eastAsia"/>
        </w:rPr>
        <w:t>1.</w:t>
      </w:r>
      <w:r>
        <w:rPr>
          <w:rFonts w:hint="eastAsia" w:hAnsi="Verdana"/>
        </w:rPr>
        <w:t>每学年为52周，其中教学时间40周（含复习考试），假期12周，周学时一般为33节，三年总学时数约为3564课时。学校可根据实际情况自行确定课程开设顺序与周课时安排。</w:t>
      </w:r>
    </w:p>
    <w:p>
      <w:pPr>
        <w:pStyle w:val="47"/>
        <w:rPr>
          <w:rFonts w:hAnsi="Verdana"/>
        </w:rPr>
      </w:pPr>
      <w:r>
        <w:rPr>
          <w:rFonts w:hint="eastAsia" w:hAnsi="Verdana"/>
        </w:rPr>
        <w:t>2.公共基础课程学时占总学时的三分之一，累计总学时约为一学年。允许根据人才培养的实际需要在规定的范围内适当调整，上下浮动，但必须保证学生修完公共基础课程的必修内容和学时。</w:t>
      </w:r>
    </w:p>
    <w:p>
      <w:pPr>
        <w:pStyle w:val="47"/>
      </w:pPr>
      <w:r>
        <w:rPr>
          <w:rFonts w:hint="eastAsia" w:hAnsi="Verdana"/>
        </w:rPr>
        <w:t>3.专业课程学时占总学时的三分之二。认真落实《中等职业学校学生实习管理办法》的规定和要求，在确保学生实习总量的前提下，学校可根据实际需要集中或分阶段安排实习时间。</w:t>
      </w:r>
    </w:p>
    <w:p>
      <w:pPr>
        <w:pStyle w:val="47"/>
      </w:pPr>
      <w:r>
        <w:rPr>
          <w:rFonts w:hint="eastAsia"/>
        </w:rPr>
        <w:t>4.公共基础课程中语文、数学、英语、计算机应用基础等学科可参照教育部颁发的课程标准实施教学。教学内容和要求由学校根据专业教学的实际需要确定；选修部分可达到新颁发课程标准的拓展部分要求，允许学生在完成学业的过程中多次选择，以满足学生职业生涯发展的多种需要。</w:t>
      </w:r>
    </w:p>
    <w:p>
      <w:pPr>
        <w:pStyle w:val="47"/>
        <w:rPr>
          <w:rFonts w:hAnsi="Verdana"/>
        </w:rPr>
      </w:pPr>
      <w:r>
        <w:rPr>
          <w:rFonts w:hint="eastAsia" w:hAnsi="Verdana"/>
        </w:rPr>
        <w:t>5.文化基础或职业技能，可根据需要对课时比例作适当的调整。实行弹性学习制度的学校（专业），可根据实际情况安排教学活动的时间。</w:t>
      </w:r>
    </w:p>
    <w:p>
      <w:pPr>
        <w:pStyle w:val="47"/>
      </w:pPr>
      <w:r>
        <w:rPr>
          <w:rFonts w:hint="eastAsia" w:hAnsi="Verdana"/>
        </w:rPr>
        <w:t>6</w:t>
      </w:r>
      <w:r>
        <w:rPr>
          <w:rFonts w:hAnsi="Verdana"/>
        </w:rPr>
        <w:t>.</w:t>
      </w:r>
      <w:r>
        <w:rPr>
          <w:rFonts w:hint="eastAsia" w:hAnsi="Verdana"/>
        </w:rPr>
        <w:t>本次人培方案修订，我们把1+X课程进行了融合，见表格：</w:t>
      </w:r>
    </w:p>
    <w:p>
      <w:pPr>
        <w:pStyle w:val="47"/>
        <w:ind w:firstLine="0" w:firstLineChars="0"/>
        <w:jc w:val="center"/>
        <w:rPr>
          <w:rFonts w:ascii="仿宋"/>
          <w:b/>
          <w:bCs/>
        </w:rPr>
      </w:pPr>
      <w:r>
        <w:rPr>
          <w:rFonts w:hint="eastAsia"/>
          <w:b/>
          <w:bCs/>
        </w:rPr>
        <w:t>会计专业实施性教学计划</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16"/>
        <w:gridCol w:w="306"/>
        <w:gridCol w:w="448"/>
        <w:gridCol w:w="536"/>
        <w:gridCol w:w="683"/>
        <w:gridCol w:w="634"/>
        <w:gridCol w:w="634"/>
        <w:gridCol w:w="636"/>
        <w:gridCol w:w="461"/>
        <w:gridCol w:w="461"/>
        <w:gridCol w:w="461"/>
        <w:gridCol w:w="461"/>
        <w:gridCol w:w="579"/>
        <w:gridCol w:w="461"/>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课程</w:t>
            </w:r>
          </w:p>
          <w:p>
            <w:pPr>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性质</w:t>
            </w:r>
          </w:p>
        </w:tc>
        <w:tc>
          <w:tcPr>
            <w:tcW w:w="70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课程名称</w:t>
            </w:r>
          </w:p>
        </w:tc>
        <w:tc>
          <w:tcPr>
            <w:tcW w:w="401"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课程</w:t>
            </w:r>
          </w:p>
        </w:tc>
        <w:tc>
          <w:tcPr>
            <w:tcW w:w="28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学分</w:t>
            </w:r>
          </w:p>
        </w:tc>
        <w:tc>
          <w:tcPr>
            <w:tcW w:w="363"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总学时</w:t>
            </w:r>
          </w:p>
        </w:tc>
        <w:tc>
          <w:tcPr>
            <w:tcW w:w="33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理论学时</w:t>
            </w:r>
          </w:p>
        </w:tc>
        <w:tc>
          <w:tcPr>
            <w:tcW w:w="33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实践学时</w:t>
            </w:r>
          </w:p>
        </w:tc>
        <w:tc>
          <w:tcPr>
            <w:tcW w:w="1626" w:type="pct"/>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开设学期（周课时）</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考核</w:t>
            </w:r>
          </w:p>
        </w:tc>
        <w:tc>
          <w:tcPr>
            <w:tcW w:w="47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学时比例56.5%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c>
          <w:tcPr>
            <w:tcW w:w="401"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代码</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1期</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2期</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3期</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4期</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5期</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6期</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方式</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理论</w:t>
            </w:r>
          </w:p>
        </w:tc>
        <w:tc>
          <w:tcPr>
            <w:tcW w:w="700"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语文</w:t>
            </w:r>
          </w:p>
        </w:tc>
        <w:tc>
          <w:tcPr>
            <w:tcW w:w="401"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1</w:t>
            </w: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28</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504</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504</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考试</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理论</w:t>
            </w:r>
          </w:p>
        </w:tc>
        <w:tc>
          <w:tcPr>
            <w:tcW w:w="700"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数学</w:t>
            </w:r>
          </w:p>
        </w:tc>
        <w:tc>
          <w:tcPr>
            <w:tcW w:w="401"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30</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540</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540</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考试</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理论</w:t>
            </w:r>
          </w:p>
        </w:tc>
        <w:tc>
          <w:tcPr>
            <w:tcW w:w="700"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英语</w:t>
            </w:r>
          </w:p>
        </w:tc>
        <w:tc>
          <w:tcPr>
            <w:tcW w:w="401"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3</w:t>
            </w: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26</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468</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468</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5</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考试</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理论</w:t>
            </w:r>
          </w:p>
        </w:tc>
        <w:tc>
          <w:tcPr>
            <w:tcW w:w="700"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德育</w:t>
            </w:r>
          </w:p>
        </w:tc>
        <w:tc>
          <w:tcPr>
            <w:tcW w:w="401"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8</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144</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144</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考试</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理论</w:t>
            </w:r>
          </w:p>
        </w:tc>
        <w:tc>
          <w:tcPr>
            <w:tcW w:w="700"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历史</w:t>
            </w:r>
          </w:p>
        </w:tc>
        <w:tc>
          <w:tcPr>
            <w:tcW w:w="401"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1001</w:t>
            </w: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4</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72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72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考查</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2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理实一体</w:t>
            </w:r>
          </w:p>
        </w:tc>
        <w:tc>
          <w:tcPr>
            <w:tcW w:w="700"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信息技术</w:t>
            </w:r>
          </w:p>
        </w:tc>
        <w:tc>
          <w:tcPr>
            <w:tcW w:w="401"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1007</w:t>
            </w: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4</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72</w:t>
            </w:r>
          </w:p>
        </w:tc>
        <w:tc>
          <w:tcPr>
            <w:tcW w:w="6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12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60</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考查</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体验</w:t>
            </w:r>
          </w:p>
        </w:tc>
        <w:tc>
          <w:tcPr>
            <w:tcW w:w="700"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体育与健康</w:t>
            </w:r>
          </w:p>
        </w:tc>
        <w:tc>
          <w:tcPr>
            <w:tcW w:w="401"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1004</w:t>
            </w: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12</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216</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10</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206</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考核</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28" w:type="pct"/>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r>
              <w:rPr>
                <w:rFonts w:hint="eastAsia" w:ascii="仿宋_GB2312" w:hAnsi="宋体" w:eastAsia="仿宋_GB2312" w:cs="宋体"/>
                <w:kern w:val="0"/>
                <w:sz w:val="20"/>
                <w:szCs w:val="18"/>
              </w:rPr>
              <w:t>小计</w:t>
            </w: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112</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2016</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1750</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266</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21</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21</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18</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18</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17</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18"/>
              </w:rPr>
            </w:pPr>
            <w:r>
              <w:rPr>
                <w:rFonts w:hint="eastAsia" w:ascii="仿宋_GB2312" w:hAnsi="宋体" w:eastAsia="仿宋_GB2312" w:cs="宋体"/>
                <w:b/>
                <w:bCs/>
                <w:kern w:val="0"/>
                <w:sz w:val="20"/>
                <w:szCs w:val="18"/>
              </w:rPr>
              <w:t>17</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s="宋体"/>
                <w:kern w:val="0"/>
                <w:sz w:val="18"/>
                <w:szCs w:val="16"/>
              </w:rPr>
            </w:pPr>
            <w:r>
              <w:rPr>
                <w:rFonts w:hint="eastAsia" w:ascii="仿宋_GB2312" w:hAnsi="宋体" w:eastAsia="仿宋_GB2312" w:cs="宋体"/>
                <w:kern w:val="0"/>
                <w:sz w:val="18"/>
                <w:szCs w:val="16"/>
              </w:rPr>
              <w:t>专业核心课</w:t>
            </w:r>
          </w:p>
        </w:tc>
        <w:tc>
          <w:tcPr>
            <w:tcW w:w="862"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基础会计</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24</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432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232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200</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18"/>
                <w:szCs w:val="16"/>
              </w:rPr>
            </w:pPr>
          </w:p>
        </w:tc>
        <w:tc>
          <w:tcPr>
            <w:tcW w:w="862"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市场营销知识</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24</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20"/>
                <w:szCs w:val="18"/>
              </w:rPr>
              <w:t>432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332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100</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18"/>
                <w:szCs w:val="16"/>
              </w:rPr>
            </w:pPr>
          </w:p>
        </w:tc>
        <w:tc>
          <w:tcPr>
            <w:tcW w:w="862"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经济法律法规</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24</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20"/>
                <w:szCs w:val="18"/>
              </w:rPr>
              <w:t>432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332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100</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7" w:type="pct"/>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6"/>
              </w:rPr>
            </w:pPr>
          </w:p>
        </w:tc>
        <w:tc>
          <w:tcPr>
            <w:tcW w:w="862"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企业财务会计</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36</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36</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1</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1</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8" w:type="pct"/>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小计</w:t>
            </w: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74</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1332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932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400</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13</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13</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bookmarkStart w:id="96" w:name="_Hlk63082604"/>
            <w:r>
              <w:rPr>
                <w:rFonts w:hint="eastAsia" w:ascii="仿宋_GB2312" w:hAnsi="宋体" w:eastAsia="仿宋_GB2312" w:cs="宋体"/>
                <w:kern w:val="0"/>
                <w:sz w:val="18"/>
                <w:szCs w:val="16"/>
              </w:rPr>
              <w:t>专业技能课</w:t>
            </w:r>
          </w:p>
        </w:tc>
        <w:tc>
          <w:tcPr>
            <w:tcW w:w="862"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会计基本技能</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72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20</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52</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47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18"/>
                <w:szCs w:val="16"/>
              </w:rPr>
            </w:pPr>
          </w:p>
        </w:tc>
        <w:tc>
          <w:tcPr>
            <w:tcW w:w="862"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基础会计实训</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72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20</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52</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27" w:type="pct"/>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6"/>
              </w:rPr>
            </w:pPr>
          </w:p>
        </w:tc>
        <w:tc>
          <w:tcPr>
            <w:tcW w:w="862"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会计电算化</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4</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72</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8</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64</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18"/>
                <w:szCs w:val="16"/>
              </w:rPr>
            </w:pPr>
          </w:p>
        </w:tc>
      </w:tr>
      <w:bookmarkEnd w:id="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90"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highlight w:val="yellow"/>
              </w:rPr>
            </w:pPr>
            <w:r>
              <w:rPr>
                <w:rFonts w:hint="eastAsia" w:ascii="仿宋_GB2312" w:hAnsi="宋体" w:eastAsia="仿宋_GB2312" w:cs="宋体"/>
                <w:kern w:val="0"/>
                <w:sz w:val="18"/>
                <w:szCs w:val="16"/>
              </w:rPr>
              <w:t>小计</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highlight w:val="yellow"/>
              </w:rPr>
            </w:pP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highlight w:val="yellow"/>
              </w:rPr>
            </w:pPr>
            <w:r>
              <w:rPr>
                <w:rFonts w:hint="eastAsia" w:ascii="仿宋_GB2312" w:hAnsi="宋体" w:eastAsia="仿宋_GB2312" w:cs="宋体"/>
                <w:b/>
                <w:bCs/>
                <w:kern w:val="0"/>
                <w:sz w:val="20"/>
                <w:szCs w:val="20"/>
              </w:rPr>
              <w:t>12</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highlight w:val="yellow"/>
              </w:rPr>
            </w:pPr>
            <w:r>
              <w:rPr>
                <w:rFonts w:hint="eastAsia" w:ascii="仿宋_GB2312" w:hAnsi="宋体" w:eastAsia="仿宋_GB2312" w:cs="宋体"/>
                <w:b/>
                <w:bCs/>
                <w:kern w:val="0"/>
                <w:sz w:val="20"/>
                <w:szCs w:val="20"/>
              </w:rPr>
              <w:t>216</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48</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168</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highlight w:val="yellow"/>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90"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r>
              <w:rPr>
                <w:rFonts w:hint="eastAsia" w:ascii="仿宋_GB2312" w:hAnsi="宋体" w:eastAsia="仿宋_GB2312" w:cs="宋体"/>
                <w:kern w:val="0"/>
                <w:sz w:val="18"/>
                <w:szCs w:val="16"/>
              </w:rPr>
              <w:t>合计</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rPr>
            </w:pP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198</w:t>
            </w:r>
          </w:p>
        </w:tc>
        <w:tc>
          <w:tcPr>
            <w:tcW w:w="36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3564</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2730</w:t>
            </w:r>
          </w:p>
        </w:tc>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834</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33</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33</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33</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33</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33</w:t>
            </w:r>
          </w:p>
        </w:tc>
        <w:tc>
          <w:tcPr>
            <w:tcW w:w="30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highlight w:val="yellow"/>
              </w:rPr>
            </w:pPr>
            <w:r>
              <w:rPr>
                <w:rFonts w:hint="eastAsia" w:ascii="仿宋_GB2312" w:hAnsi="宋体" w:eastAsia="仿宋_GB2312" w:cs="宋体"/>
                <w:b/>
                <w:bCs/>
                <w:kern w:val="0"/>
                <w:sz w:val="20"/>
                <w:szCs w:val="20"/>
              </w:rPr>
              <w:t>33</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6"/>
                <w:highlight w:val="yellow"/>
              </w:rPr>
            </w:pPr>
          </w:p>
        </w:tc>
        <w:tc>
          <w:tcPr>
            <w:tcW w:w="477"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bCs/>
                <w:kern w:val="0"/>
                <w:sz w:val="18"/>
                <w:szCs w:val="16"/>
                <w:highlight w:val="yellow"/>
              </w:rPr>
            </w:pPr>
          </w:p>
        </w:tc>
      </w:tr>
    </w:tbl>
    <w:p/>
    <w:p>
      <w:pPr>
        <w:keepNext/>
        <w:keepLines/>
        <w:widowControl/>
        <w:spacing w:before="190" w:beforeLines="50" w:after="190" w:afterLines="50" w:line="500" w:lineRule="exact"/>
        <w:jc w:val="left"/>
        <w:outlineLvl w:val="1"/>
        <w:rPr>
          <w:rFonts w:ascii="仿宋" w:hAnsi="黑体" w:eastAsia="黑体" w:cstheme="majorBidi"/>
          <w:b/>
          <w:bCs/>
          <w:sz w:val="30"/>
          <w:szCs w:val="32"/>
        </w:rPr>
      </w:pPr>
      <w:bookmarkStart w:id="97" w:name="_Toc86244990"/>
      <w:bookmarkEnd w:id="97"/>
      <w:bookmarkStart w:id="98" w:name="_Toc89266112"/>
      <w:r>
        <w:rPr>
          <w:rFonts w:hint="eastAsia" w:ascii="仿宋" w:hAnsi="仿宋" w:eastAsia="黑体" w:cstheme="majorBidi"/>
          <w:b/>
          <w:bCs/>
          <w:sz w:val="30"/>
          <w:szCs w:val="32"/>
        </w:rPr>
        <w:t>（二）教学进程安排</w:t>
      </w:r>
      <w:bookmarkEnd w:id="98"/>
    </w:p>
    <w:p>
      <w:pPr>
        <w:spacing w:line="360" w:lineRule="auto"/>
        <w:jc w:val="center"/>
        <w:rPr>
          <w:rFonts w:ascii="仿宋_GB2312" w:hAnsi="Calibri" w:eastAsia="仿宋_GB2312" w:cs="Times New Roman"/>
          <w:b/>
          <w:bCs/>
          <w:sz w:val="28"/>
          <w:szCs w:val="28"/>
        </w:rPr>
      </w:pPr>
      <w:r>
        <w:rPr>
          <w:rFonts w:hint="eastAsia" w:ascii="仿宋_GB2312" w:hAnsi="Calibri" w:eastAsia="仿宋_GB2312" w:cs="Times New Roman"/>
          <w:b/>
          <w:bCs/>
          <w:sz w:val="28"/>
          <w:szCs w:val="28"/>
          <w:lang w:val="en-US" w:eastAsia="zh-CN"/>
        </w:rPr>
        <w:t>会计事务</w:t>
      </w:r>
      <w:r>
        <w:rPr>
          <w:rFonts w:hint="eastAsia" w:ascii="仿宋_GB2312" w:hAnsi="Calibri" w:eastAsia="仿宋_GB2312" w:cs="Times New Roman"/>
          <w:b/>
          <w:bCs/>
          <w:sz w:val="28"/>
          <w:szCs w:val="28"/>
        </w:rPr>
        <w:t>专业实施性教学计划</w:t>
      </w:r>
    </w:p>
    <w:p>
      <w:pPr>
        <w:spacing w:line="360" w:lineRule="auto"/>
        <w:jc w:val="center"/>
        <w:rPr>
          <w:rFonts w:ascii="仿宋_GB2312" w:hAnsi="Calibri" w:eastAsia="仿宋_GB2312" w:cs="Times New Roman"/>
          <w:b/>
          <w:bCs/>
          <w:sz w:val="28"/>
          <w:szCs w:val="28"/>
        </w:rPr>
      </w:pPr>
      <w:bookmarkStart w:id="99" w:name="_Hlk85374521"/>
      <w:bookmarkEnd w:id="99"/>
      <w:r>
        <w:rPr>
          <w:rFonts w:hint="eastAsia" w:ascii="仿宋_GB2312" w:hAnsi="Calibri" w:eastAsia="仿宋_GB2312" w:cs="Times New Roman"/>
          <w:b/>
          <w:bCs/>
          <w:sz w:val="28"/>
          <w:szCs w:val="28"/>
        </w:rPr>
        <w:t>2021级2024届（</w:t>
      </w:r>
      <w:r>
        <w:rPr>
          <w:rFonts w:hint="eastAsia" w:ascii="仿宋_GB2312" w:hAnsi="Calibri" w:eastAsia="仿宋_GB2312" w:cs="Times New Roman"/>
          <w:b/>
          <w:bCs/>
          <w:sz w:val="28"/>
          <w:szCs w:val="28"/>
          <w:lang w:val="en-US" w:eastAsia="zh-CN"/>
        </w:rPr>
        <w:t>单招</w:t>
      </w:r>
      <w:r>
        <w:rPr>
          <w:rFonts w:hint="eastAsia" w:ascii="仿宋_GB2312" w:hAnsi="Calibri" w:eastAsia="仿宋_GB2312" w:cs="Times New Roman"/>
          <w:b/>
          <w:bCs/>
          <w:sz w:val="28"/>
          <w:szCs w:val="28"/>
        </w:rPr>
        <w:t>班）</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495"/>
        <w:gridCol w:w="504"/>
        <w:gridCol w:w="508"/>
        <w:gridCol w:w="2445"/>
        <w:gridCol w:w="508"/>
        <w:gridCol w:w="508"/>
        <w:gridCol w:w="508"/>
        <w:gridCol w:w="508"/>
        <w:gridCol w:w="508"/>
        <w:gridCol w:w="451"/>
        <w:gridCol w:w="658"/>
        <w:gridCol w:w="816"/>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序号</w:t>
            </w:r>
          </w:p>
        </w:tc>
        <w:tc>
          <w:tcPr>
            <w:tcW w:w="263"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课程级别</w:t>
            </w:r>
          </w:p>
        </w:tc>
        <w:tc>
          <w:tcPr>
            <w:tcW w:w="1837"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学年</w:t>
            </w:r>
          </w:p>
        </w:tc>
        <w:tc>
          <w:tcPr>
            <w:tcW w:w="540" w:type="pct"/>
            <w:gridSpan w:val="2"/>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一学年</w:t>
            </w:r>
          </w:p>
        </w:tc>
        <w:tc>
          <w:tcPr>
            <w:tcW w:w="540" w:type="pct"/>
            <w:gridSpan w:val="2"/>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二学年</w:t>
            </w:r>
          </w:p>
        </w:tc>
        <w:tc>
          <w:tcPr>
            <w:tcW w:w="510" w:type="pct"/>
            <w:gridSpan w:val="2"/>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三学年</w:t>
            </w:r>
          </w:p>
        </w:tc>
        <w:tc>
          <w:tcPr>
            <w:tcW w:w="35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教学时间</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占总学时比例%</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1837"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学期</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4</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5</w:t>
            </w: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6</w:t>
            </w:r>
          </w:p>
        </w:tc>
        <w:tc>
          <w:tcPr>
            <w:tcW w:w="35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总计</w:t>
            </w:r>
          </w:p>
        </w:tc>
        <w:tc>
          <w:tcPr>
            <w:tcW w:w="434" w:type="pct"/>
            <w:vAlign w:val="center"/>
          </w:tcPr>
          <w:p>
            <w:pPr>
              <w:widowControl/>
              <w:spacing w:line="300" w:lineRule="exact"/>
              <w:jc w:val="center"/>
              <w:rPr>
                <w:rFonts w:ascii="宋体" w:hAnsi="宋体" w:eastAsia="仿宋_GB2312"/>
                <w:color w:val="000000"/>
                <w:kern w:val="0"/>
                <w:sz w:val="20"/>
                <w:szCs w:val="20"/>
              </w:rPr>
            </w:pPr>
          </w:p>
        </w:tc>
        <w:tc>
          <w:tcPr>
            <w:tcW w:w="262" w:type="pct"/>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文化课程</w:t>
            </w:r>
          </w:p>
        </w:tc>
        <w:tc>
          <w:tcPr>
            <w:tcW w:w="270" w:type="pct"/>
            <w:vMerge w:val="restart"/>
            <w:shd w:val="clear" w:color="auto" w:fill="FFFFFF"/>
            <w:vAlign w:val="center"/>
          </w:tcPr>
          <w:p>
            <w:pPr>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课程类别</w:t>
            </w:r>
          </w:p>
        </w:tc>
        <w:tc>
          <w:tcPr>
            <w:tcW w:w="1299" w:type="pct"/>
            <w:vMerge w:val="restart"/>
            <w:shd w:val="clear" w:color="auto" w:fill="FFFFFF"/>
            <w:vAlign w:val="center"/>
          </w:tcPr>
          <w:p>
            <w:pPr>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课程名称</w:t>
            </w:r>
          </w:p>
        </w:tc>
        <w:tc>
          <w:tcPr>
            <w:tcW w:w="1590" w:type="pct"/>
            <w:gridSpan w:val="6"/>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教学周</w:t>
            </w:r>
          </w:p>
        </w:tc>
        <w:tc>
          <w:tcPr>
            <w:tcW w:w="350" w:type="pct"/>
            <w:vMerge w:val="restart"/>
            <w:shd w:val="clear" w:color="auto" w:fill="FFFFFF"/>
            <w:vAlign w:val="center"/>
          </w:tcPr>
          <w:p>
            <w:pPr>
              <w:spacing w:line="300" w:lineRule="exact"/>
              <w:jc w:val="center"/>
              <w:rPr>
                <w:rFonts w:hint="default" w:ascii="宋体" w:hAnsi="宋体" w:eastAsia="仿宋_GB2312"/>
                <w:color w:val="000000"/>
                <w:kern w:val="0"/>
                <w:sz w:val="20"/>
                <w:szCs w:val="20"/>
                <w:lang w:val="en-US" w:eastAsia="zh-CN"/>
              </w:rPr>
            </w:pPr>
            <w:r>
              <w:rPr>
                <w:rFonts w:ascii="宋体" w:hAnsi="宋体" w:eastAsia="仿宋_GB2312"/>
                <w:color w:val="000000"/>
                <w:kern w:val="0"/>
                <w:sz w:val="20"/>
                <w:szCs w:val="20"/>
              </w:rPr>
              <w:t>3</w:t>
            </w:r>
            <w:r>
              <w:rPr>
                <w:rFonts w:hint="eastAsia" w:ascii="宋体" w:hAnsi="宋体" w:eastAsia="仿宋_GB2312"/>
                <w:color w:val="000000"/>
                <w:kern w:val="0"/>
                <w:sz w:val="20"/>
                <w:szCs w:val="20"/>
                <w:lang w:val="en-US" w:eastAsia="zh-CN"/>
              </w:rPr>
              <w:t>256</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18</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18</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8</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8</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8</w:t>
            </w:r>
          </w:p>
        </w:tc>
        <w:tc>
          <w:tcPr>
            <w:tcW w:w="239"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8</w:t>
            </w:r>
          </w:p>
        </w:tc>
        <w:tc>
          <w:tcPr>
            <w:tcW w:w="350" w:type="pct"/>
            <w:vMerge w:val="continue"/>
            <w:vAlign w:val="center"/>
          </w:tcPr>
          <w:p>
            <w:pPr>
              <w:widowControl/>
              <w:spacing w:line="300" w:lineRule="exact"/>
              <w:jc w:val="center"/>
              <w:rPr>
                <w:rFonts w:ascii="宋体" w:hAnsi="宋体" w:eastAsia="宋体"/>
                <w:color w:val="000000"/>
                <w:kern w:val="0"/>
                <w:sz w:val="20"/>
                <w:szCs w:val="20"/>
              </w:rPr>
            </w:pP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一</w:t>
            </w:r>
          </w:p>
        </w:tc>
        <w:tc>
          <w:tcPr>
            <w:tcW w:w="263"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一级课堂</w:t>
            </w: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必修课</w:t>
            </w: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合计</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21</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21</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2</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2</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14</w:t>
            </w:r>
          </w:p>
        </w:tc>
        <w:tc>
          <w:tcPr>
            <w:tcW w:w="239"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14</w:t>
            </w: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626</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ascii="宋体" w:hAnsi="宋体" w:eastAsia="仿宋_GB2312"/>
                <w:color w:val="000000"/>
                <w:kern w:val="0"/>
                <w:sz w:val="20"/>
                <w:szCs w:val="20"/>
              </w:rPr>
              <w:t>4</w:t>
            </w:r>
            <w:r>
              <w:rPr>
                <w:rFonts w:hint="eastAsia" w:ascii="宋体" w:hAnsi="宋体" w:eastAsia="仿宋_GB2312"/>
                <w:color w:val="000000"/>
                <w:kern w:val="0"/>
                <w:sz w:val="20"/>
                <w:szCs w:val="20"/>
                <w:lang w:val="en-US" w:eastAsia="zh-CN"/>
              </w:rPr>
              <w:t>9</w:t>
            </w:r>
            <w:r>
              <w:rPr>
                <w:rFonts w:ascii="宋体" w:hAnsi="宋体" w:eastAsia="仿宋_GB2312"/>
                <w:color w:val="000000"/>
                <w:kern w:val="0"/>
                <w:sz w:val="20"/>
                <w:szCs w:val="20"/>
              </w:rPr>
              <w:t>.</w:t>
            </w:r>
            <w:r>
              <w:rPr>
                <w:rFonts w:hint="eastAsia" w:ascii="宋体" w:hAnsi="宋体" w:eastAsia="仿宋_GB2312"/>
                <w:color w:val="000000"/>
                <w:kern w:val="0"/>
                <w:sz w:val="20"/>
                <w:szCs w:val="20"/>
                <w:lang w:val="en-US" w:eastAsia="zh-CN"/>
              </w:rPr>
              <w:t>94</w:t>
            </w:r>
            <w:r>
              <w:rPr>
                <w:rFonts w:hint="eastAsia" w:ascii="宋体" w:hAnsi="宋体" w:eastAsia="仿宋_GB2312"/>
                <w:color w:val="000000"/>
                <w:kern w:val="0"/>
                <w:sz w:val="20"/>
                <w:szCs w:val="20"/>
              </w:rPr>
              <w:t>%</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中国特色社会主义</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72</w:t>
            </w:r>
          </w:p>
        </w:tc>
        <w:tc>
          <w:tcPr>
            <w:tcW w:w="434"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心理健康与职业生涯</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34"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哲学与人生</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72</w:t>
            </w:r>
          </w:p>
        </w:tc>
        <w:tc>
          <w:tcPr>
            <w:tcW w:w="434"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4</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职业道德与法治</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34"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5</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语文</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w:t>
            </w:r>
          </w:p>
        </w:tc>
        <w:tc>
          <w:tcPr>
            <w:tcW w:w="270"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3</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39"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356</w:t>
            </w:r>
          </w:p>
        </w:tc>
        <w:tc>
          <w:tcPr>
            <w:tcW w:w="434"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6</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数学</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w:t>
            </w:r>
          </w:p>
        </w:tc>
        <w:tc>
          <w:tcPr>
            <w:tcW w:w="270"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5</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w:t>
            </w:r>
          </w:p>
        </w:tc>
        <w:tc>
          <w:tcPr>
            <w:tcW w:w="270"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3</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39"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464</w:t>
            </w:r>
          </w:p>
        </w:tc>
        <w:tc>
          <w:tcPr>
            <w:tcW w:w="434"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7</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英语</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w:t>
            </w:r>
          </w:p>
        </w:tc>
        <w:tc>
          <w:tcPr>
            <w:tcW w:w="270"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2</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39"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350" w:type="pct"/>
            <w:shd w:val="clear" w:color="auto" w:fill="FFFFFF"/>
            <w:vAlign w:val="center"/>
          </w:tcPr>
          <w:p>
            <w:pPr>
              <w:widowControl/>
              <w:spacing w:line="300" w:lineRule="exact"/>
              <w:jc w:val="both"/>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322</w:t>
            </w:r>
          </w:p>
        </w:tc>
        <w:tc>
          <w:tcPr>
            <w:tcW w:w="434"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8</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体育与健康</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39"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2</w:t>
            </w: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96</w:t>
            </w:r>
          </w:p>
        </w:tc>
        <w:tc>
          <w:tcPr>
            <w:tcW w:w="434"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9</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信息技术</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w:t>
            </w:r>
          </w:p>
        </w:tc>
        <w:tc>
          <w:tcPr>
            <w:tcW w:w="270"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2</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72</w:t>
            </w:r>
          </w:p>
        </w:tc>
        <w:tc>
          <w:tcPr>
            <w:tcW w:w="434"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10</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历史</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72</w:t>
            </w:r>
          </w:p>
        </w:tc>
        <w:tc>
          <w:tcPr>
            <w:tcW w:w="434"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11</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艺术</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34"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12</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劳动教育</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34"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二</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选修课</w:t>
            </w: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小</w:t>
            </w:r>
            <w:r>
              <w:rPr>
                <w:rFonts w:hint="eastAsia" w:ascii="宋体" w:hAnsi="宋体" w:eastAsia="仿宋_GB2312"/>
                <w:color w:val="000000"/>
                <w:kern w:val="0"/>
                <w:sz w:val="20"/>
                <w:szCs w:val="20"/>
              </w:rPr>
              <w:t>计</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w:t>
            </w:r>
          </w:p>
        </w:tc>
        <w:tc>
          <w:tcPr>
            <w:tcW w:w="239"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w:t>
            </w: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98</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3</w:t>
            </w:r>
            <w:r>
              <w:rPr>
                <w:rFonts w:hint="eastAsia" w:ascii="宋体" w:hAnsi="宋体" w:eastAsia="仿宋_GB2312"/>
                <w:color w:val="000000"/>
                <w:kern w:val="0"/>
                <w:sz w:val="20"/>
                <w:szCs w:val="20"/>
              </w:rPr>
              <w:t>.</w:t>
            </w:r>
            <w:r>
              <w:rPr>
                <w:rFonts w:ascii="宋体" w:hAnsi="宋体" w:eastAsia="仿宋_GB2312"/>
                <w:color w:val="000000"/>
                <w:kern w:val="0"/>
                <w:sz w:val="20"/>
                <w:szCs w:val="20"/>
              </w:rPr>
              <w:t>0</w:t>
            </w:r>
            <w:r>
              <w:rPr>
                <w:rFonts w:hint="eastAsia" w:ascii="宋体" w:hAnsi="宋体" w:eastAsia="仿宋_GB2312"/>
                <w:color w:val="000000"/>
                <w:kern w:val="0"/>
                <w:sz w:val="20"/>
                <w:szCs w:val="20"/>
                <w:lang w:val="en-US" w:eastAsia="zh-CN"/>
              </w:rPr>
              <w:t>0</w:t>
            </w:r>
            <w:r>
              <w:rPr>
                <w:rFonts w:hint="eastAsia" w:ascii="宋体" w:hAnsi="宋体" w:eastAsia="仿宋_GB2312"/>
                <w:color w:val="000000"/>
                <w:kern w:val="0"/>
                <w:sz w:val="20"/>
                <w:szCs w:val="20"/>
              </w:rPr>
              <w:t>%</w:t>
            </w: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13</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普通话</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14</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心理健康</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15</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读书活动</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hint="eastAsia" w:ascii="宋体" w:hAnsi="宋体" w:eastAsia="仿宋_GB2312"/>
                <w:color w:val="000000"/>
                <w:kern w:val="0"/>
                <w:sz w:val="20"/>
                <w:szCs w:val="20"/>
              </w:rPr>
            </w:pP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安全教育</w:t>
            </w:r>
          </w:p>
        </w:tc>
        <w:tc>
          <w:tcPr>
            <w:tcW w:w="270"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1</w:t>
            </w:r>
          </w:p>
        </w:tc>
        <w:tc>
          <w:tcPr>
            <w:tcW w:w="239"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1</w:t>
            </w:r>
          </w:p>
        </w:tc>
        <w:tc>
          <w:tcPr>
            <w:tcW w:w="350"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98</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61" w:type="pct"/>
            <w:shd w:val="clear" w:color="auto" w:fill="FFFFFF"/>
            <w:noWrap/>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三</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专业课程</w:t>
            </w:r>
          </w:p>
        </w:tc>
        <w:tc>
          <w:tcPr>
            <w:tcW w:w="1569" w:type="pct"/>
            <w:gridSpan w:val="2"/>
            <w:shd w:val="clear" w:color="auto" w:fill="FFFFFF"/>
            <w:noWrap/>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合计</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12</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12</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21</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21</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17</w:t>
            </w:r>
          </w:p>
        </w:tc>
        <w:tc>
          <w:tcPr>
            <w:tcW w:w="239"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17</w:t>
            </w:r>
          </w:p>
        </w:tc>
        <w:tc>
          <w:tcPr>
            <w:tcW w:w="350" w:type="pct"/>
            <w:shd w:val="clear" w:color="auto" w:fill="FFFFFF"/>
            <w:noWrap/>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630</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50</w:t>
            </w:r>
            <w:r>
              <w:rPr>
                <w:rFonts w:ascii="宋体" w:hAnsi="宋体" w:eastAsia="仿宋_GB2312"/>
                <w:color w:val="000000"/>
                <w:kern w:val="0"/>
                <w:sz w:val="20"/>
                <w:szCs w:val="20"/>
              </w:rPr>
              <w:t>.</w:t>
            </w:r>
            <w:r>
              <w:rPr>
                <w:rFonts w:hint="eastAsia" w:ascii="宋体" w:hAnsi="宋体" w:eastAsia="仿宋_GB2312"/>
                <w:color w:val="000000"/>
                <w:kern w:val="0"/>
                <w:sz w:val="20"/>
                <w:szCs w:val="20"/>
                <w:lang w:val="en-US" w:eastAsia="zh-CN"/>
              </w:rPr>
              <w:t>06</w:t>
            </w:r>
            <w:r>
              <w:rPr>
                <w:rFonts w:hint="eastAsia" w:ascii="宋体" w:hAnsi="宋体" w:eastAsia="仿宋_GB2312"/>
                <w:color w:val="000000"/>
                <w:kern w:val="0"/>
                <w:sz w:val="20"/>
                <w:szCs w:val="20"/>
              </w:rPr>
              <w:t>%</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17</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restart"/>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专业核心课</w:t>
            </w:r>
          </w:p>
        </w:tc>
        <w:tc>
          <w:tcPr>
            <w:tcW w:w="1299" w:type="pct"/>
            <w:shd w:val="clear" w:color="auto" w:fill="FFFFFF"/>
            <w:noWrap/>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基础会计</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39" w:type="pct"/>
            <w:shd w:val="clear" w:color="auto" w:fill="FFFFFF"/>
            <w:vAlign w:val="center"/>
          </w:tcPr>
          <w:p>
            <w:pPr>
              <w:widowControl/>
              <w:spacing w:line="300" w:lineRule="exact"/>
              <w:ind w:firstLine="0" w:firstLineChars="0"/>
              <w:jc w:val="center"/>
              <w:rPr>
                <w:rFonts w:hint="default"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428</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18</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noWrap/>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市场营销知识</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39"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428</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19</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noWrap/>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经济</w:t>
            </w:r>
            <w:r>
              <w:rPr>
                <w:rFonts w:hint="eastAsia" w:ascii="宋体" w:hAnsi="宋体" w:eastAsia="仿宋_GB2312"/>
                <w:color w:val="000000"/>
                <w:kern w:val="0"/>
                <w:sz w:val="20"/>
                <w:szCs w:val="20"/>
              </w:rPr>
              <w:t>法律法规</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w:t>
            </w:r>
          </w:p>
        </w:tc>
        <w:tc>
          <w:tcPr>
            <w:tcW w:w="239" w:type="pct"/>
            <w:shd w:val="clear" w:color="auto" w:fill="FFFFFF"/>
            <w:vAlign w:val="center"/>
          </w:tcPr>
          <w:p>
            <w:pPr>
              <w:widowControl/>
              <w:spacing w:line="300" w:lineRule="exact"/>
              <w:ind w:firstLine="0" w:firstLineChars="0"/>
              <w:jc w:val="center"/>
              <w:rPr>
                <w:rFonts w:hint="default"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5</w:t>
            </w: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454</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20</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noWrap/>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企业财务会计</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72</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四</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noWrap/>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小</w:t>
            </w:r>
            <w:r>
              <w:rPr>
                <w:rFonts w:hint="eastAsia" w:ascii="宋体" w:hAnsi="宋体" w:eastAsia="仿宋_GB2312"/>
                <w:color w:val="000000"/>
                <w:kern w:val="0"/>
                <w:sz w:val="20"/>
                <w:szCs w:val="20"/>
              </w:rPr>
              <w:t>计</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2</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12</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17</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17</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13</w:t>
            </w:r>
          </w:p>
        </w:tc>
        <w:tc>
          <w:tcPr>
            <w:tcW w:w="239" w:type="pct"/>
            <w:shd w:val="clear" w:color="auto" w:fill="FFFFFF"/>
            <w:vAlign w:val="center"/>
          </w:tcPr>
          <w:p>
            <w:pPr>
              <w:widowControl/>
              <w:spacing w:line="300" w:lineRule="exact"/>
              <w:ind w:firstLine="0" w:firstLineChars="0"/>
              <w:jc w:val="center"/>
              <w:rPr>
                <w:rFonts w:hint="default"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13</w:t>
            </w: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1382</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24</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restart"/>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专业技能课</w:t>
            </w:r>
          </w:p>
        </w:tc>
        <w:tc>
          <w:tcPr>
            <w:tcW w:w="1299"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仿宋_GB2312" w:hAnsi="宋体" w:eastAsia="仿宋_GB2312" w:cs="宋体"/>
                <w:kern w:val="0"/>
                <w:sz w:val="18"/>
                <w:szCs w:val="16"/>
              </w:rPr>
              <w:t>会计基本技能</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44</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25</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仿宋_GB2312" w:hAnsi="宋体" w:eastAsia="仿宋_GB2312" w:cs="宋体"/>
                <w:kern w:val="0"/>
                <w:sz w:val="18"/>
                <w:szCs w:val="16"/>
              </w:rPr>
              <w:t>基础会计实训</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w:t>
            </w:r>
          </w:p>
        </w:tc>
        <w:tc>
          <w:tcPr>
            <w:tcW w:w="239"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2</w:t>
            </w: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52</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26</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仿宋_GB2312" w:hAnsi="宋体" w:eastAsia="仿宋_GB2312" w:cs="宋体"/>
                <w:kern w:val="0"/>
                <w:sz w:val="18"/>
                <w:szCs w:val="16"/>
              </w:rPr>
              <w:t>会计电算化</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w:t>
            </w:r>
          </w:p>
        </w:tc>
        <w:tc>
          <w:tcPr>
            <w:tcW w:w="239"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2</w:t>
            </w: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52</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hint="eastAsia" w:ascii="宋体" w:hAnsi="宋体" w:eastAsia="仿宋_GB2312"/>
                <w:color w:val="000000"/>
                <w:kern w:val="0"/>
                <w:sz w:val="20"/>
                <w:szCs w:val="20"/>
              </w:rPr>
            </w:pP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268" w:type="pct"/>
            <w:vMerge w:val="continue"/>
            <w:vAlign w:val="center"/>
          </w:tcPr>
          <w:p>
            <w:pPr>
              <w:widowControl/>
              <w:spacing w:line="300" w:lineRule="exact"/>
              <w:jc w:val="center"/>
              <w:rPr>
                <w:rFonts w:ascii="宋体" w:hAnsi="宋体" w:eastAsia="宋体"/>
                <w:color w:val="000000"/>
                <w:kern w:val="0"/>
                <w:sz w:val="20"/>
                <w:szCs w:val="20"/>
              </w:rPr>
            </w:pPr>
          </w:p>
        </w:tc>
        <w:tc>
          <w:tcPr>
            <w:tcW w:w="270" w:type="pct"/>
            <w:vMerge w:val="continue"/>
            <w:vAlign w:val="center"/>
          </w:tcPr>
          <w:p>
            <w:pPr>
              <w:widowControl/>
              <w:spacing w:line="300" w:lineRule="exact"/>
              <w:jc w:val="center"/>
              <w:rPr>
                <w:rFonts w:ascii="宋体" w:hAnsi="宋体" w:eastAsia="宋体"/>
                <w:color w:val="000000"/>
                <w:kern w:val="0"/>
                <w:sz w:val="20"/>
                <w:szCs w:val="20"/>
              </w:rPr>
            </w:pPr>
          </w:p>
        </w:tc>
        <w:tc>
          <w:tcPr>
            <w:tcW w:w="1299"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小计</w:t>
            </w: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p>
        </w:tc>
        <w:tc>
          <w:tcPr>
            <w:tcW w:w="27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7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39" w:type="pct"/>
            <w:shd w:val="clear" w:color="auto" w:fill="FFFFFF"/>
            <w:vAlign w:val="center"/>
          </w:tcPr>
          <w:p>
            <w:pPr>
              <w:widowControl/>
              <w:spacing w:line="300" w:lineRule="exact"/>
              <w:ind w:firstLine="0" w:firstLineChars="0"/>
              <w:jc w:val="center"/>
              <w:rPr>
                <w:rFonts w:hint="default"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35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248</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六</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1837"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复习考试（周）</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七</w:t>
            </w:r>
          </w:p>
        </w:tc>
        <w:tc>
          <w:tcPr>
            <w:tcW w:w="263"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二级课堂</w:t>
            </w:r>
          </w:p>
        </w:tc>
        <w:tc>
          <w:tcPr>
            <w:tcW w:w="1837"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入学教育（军训）（周）</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30</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不在正常教学周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八</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1837"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社团活动课</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144</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课余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九</w:t>
            </w:r>
          </w:p>
        </w:tc>
        <w:tc>
          <w:tcPr>
            <w:tcW w:w="263"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三级课堂</w:t>
            </w:r>
          </w:p>
        </w:tc>
        <w:tc>
          <w:tcPr>
            <w:tcW w:w="1837"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认知实习</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课余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十</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1837"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生产实习（周）</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150</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根据需要安排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十一</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1837"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综合实训</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150</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根据需要安排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61"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十二</w:t>
            </w:r>
          </w:p>
        </w:tc>
        <w:tc>
          <w:tcPr>
            <w:tcW w:w="263" w:type="pct"/>
            <w:vMerge w:val="continue"/>
            <w:vAlign w:val="center"/>
          </w:tcPr>
          <w:p>
            <w:pPr>
              <w:widowControl/>
              <w:spacing w:line="300" w:lineRule="exact"/>
              <w:jc w:val="center"/>
              <w:rPr>
                <w:rFonts w:ascii="宋体" w:hAnsi="宋体" w:eastAsia="宋体"/>
                <w:color w:val="000000"/>
                <w:kern w:val="0"/>
                <w:sz w:val="20"/>
                <w:szCs w:val="20"/>
              </w:rPr>
            </w:pPr>
          </w:p>
        </w:tc>
        <w:tc>
          <w:tcPr>
            <w:tcW w:w="1837"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顶岗实习（月）</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6</w:t>
            </w:r>
          </w:p>
        </w:tc>
        <w:tc>
          <w:tcPr>
            <w:tcW w:w="35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600</w:t>
            </w: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ascii="宋体" w:hAnsi="宋体" w:eastAsia="仿宋_GB2312"/>
                <w:color w:val="000000"/>
                <w:kern w:val="0"/>
                <w:sz w:val="20"/>
                <w:szCs w:val="20"/>
              </w:rPr>
              <w:t>16.81</w:t>
            </w:r>
            <w:r>
              <w:rPr>
                <w:rFonts w:hint="eastAsia" w:ascii="宋体" w:hAnsi="宋体" w:eastAsia="仿宋_GB2312"/>
                <w:color w:val="000000"/>
                <w:kern w:val="0"/>
                <w:sz w:val="20"/>
                <w:szCs w:val="20"/>
              </w:rPr>
              <w:t>%</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62" w:type="pct"/>
            <w:gridSpan w:val="5"/>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周学时数</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30</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30</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30</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30</w:t>
            </w:r>
          </w:p>
        </w:tc>
        <w:tc>
          <w:tcPr>
            <w:tcW w:w="27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30</w:t>
            </w:r>
          </w:p>
        </w:tc>
        <w:tc>
          <w:tcPr>
            <w:tcW w:w="239"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5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43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bl>
    <w:p>
      <w:pPr>
        <w:spacing w:line="360" w:lineRule="auto"/>
        <w:ind w:firstLine="562" w:firstLineChars="200"/>
        <w:jc w:val="center"/>
        <w:rPr>
          <w:rFonts w:ascii="仿宋_GB2312" w:eastAsia="仿宋_GB2312"/>
          <w:b/>
          <w:bCs/>
          <w:sz w:val="28"/>
          <w:szCs w:val="28"/>
        </w:rPr>
      </w:pPr>
      <w:bookmarkStart w:id="100" w:name="_Toc86244991"/>
      <w:bookmarkEnd w:id="100"/>
      <w:bookmarkStart w:id="101" w:name="_Toc40345210"/>
      <w:bookmarkEnd w:id="101"/>
      <w:bookmarkStart w:id="102" w:name="_Toc40343070"/>
      <w:bookmarkEnd w:id="102"/>
      <w:bookmarkStart w:id="103" w:name="_Toc13511"/>
    </w:p>
    <w:p>
      <w:pPr>
        <w:widowControl/>
        <w:jc w:val="left"/>
        <w:rPr>
          <w:rFonts w:ascii="仿宋_GB2312" w:eastAsia="仿宋_GB2312"/>
          <w:b/>
          <w:bCs/>
          <w:sz w:val="28"/>
          <w:szCs w:val="28"/>
        </w:rPr>
      </w:pPr>
      <w:r>
        <w:rPr>
          <w:rFonts w:ascii="仿宋_GB2312" w:eastAsia="仿宋_GB2312"/>
          <w:b/>
          <w:bCs/>
          <w:sz w:val="28"/>
          <w:szCs w:val="28"/>
        </w:rPr>
        <w:br w:type="page"/>
      </w:r>
    </w:p>
    <w:p>
      <w:pPr>
        <w:spacing w:line="360" w:lineRule="auto"/>
        <w:ind w:firstLine="562" w:firstLineChars="200"/>
        <w:jc w:val="center"/>
        <w:rPr>
          <w:rFonts w:ascii="仿宋_GB2312" w:hAnsi="Calibri" w:eastAsia="仿宋_GB2312" w:cs="Times New Roman"/>
          <w:b/>
          <w:bCs/>
          <w:sz w:val="28"/>
          <w:szCs w:val="28"/>
        </w:rPr>
      </w:pPr>
      <w:r>
        <w:rPr>
          <w:rFonts w:hint="eastAsia" w:ascii="仿宋_GB2312" w:eastAsia="仿宋_GB2312"/>
          <w:b/>
          <w:bCs/>
          <w:sz w:val="28"/>
          <w:szCs w:val="28"/>
        </w:rPr>
        <w:t>2</w:t>
      </w:r>
      <w:bookmarkEnd w:id="103"/>
      <w:r>
        <w:rPr>
          <w:rFonts w:hint="eastAsia" w:ascii="仿宋_GB2312" w:eastAsia="仿宋_GB2312"/>
          <w:b/>
          <w:bCs/>
          <w:sz w:val="28"/>
          <w:szCs w:val="28"/>
        </w:rPr>
        <w:t>021级2024届（升学班）</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487"/>
        <w:gridCol w:w="489"/>
        <w:gridCol w:w="491"/>
        <w:gridCol w:w="2508"/>
        <w:gridCol w:w="493"/>
        <w:gridCol w:w="498"/>
        <w:gridCol w:w="493"/>
        <w:gridCol w:w="498"/>
        <w:gridCol w:w="493"/>
        <w:gridCol w:w="528"/>
        <w:gridCol w:w="647"/>
        <w:gridCol w:w="83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vMerge w:val="restart"/>
            <w:shd w:val="clear" w:color="auto" w:fill="FFFFFF"/>
            <w:vAlign w:val="center"/>
          </w:tcPr>
          <w:p>
            <w:pPr>
              <w:widowControl/>
              <w:spacing w:line="300" w:lineRule="exact"/>
              <w:jc w:val="center"/>
              <w:rPr>
                <w:rFonts w:ascii="宋体" w:hAnsi="宋体" w:eastAsia="宋体"/>
                <w:color w:val="000000"/>
                <w:kern w:val="0"/>
                <w:sz w:val="20"/>
                <w:szCs w:val="20"/>
              </w:rPr>
            </w:pPr>
            <w:r>
              <w:rPr>
                <w:rFonts w:hint="eastAsia" w:ascii="宋体" w:hAnsi="宋体" w:eastAsia="仿宋_GB2312"/>
                <w:color w:val="000000"/>
                <w:kern w:val="0"/>
                <w:sz w:val="20"/>
                <w:szCs w:val="20"/>
              </w:rPr>
              <w:t>序号</w:t>
            </w:r>
          </w:p>
        </w:tc>
        <w:tc>
          <w:tcPr>
            <w:tcW w:w="259"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课程级别</w:t>
            </w:r>
          </w:p>
        </w:tc>
        <w:tc>
          <w:tcPr>
            <w:tcW w:w="1855"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学年</w:t>
            </w:r>
          </w:p>
        </w:tc>
        <w:tc>
          <w:tcPr>
            <w:tcW w:w="527" w:type="pct"/>
            <w:gridSpan w:val="2"/>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一学年</w:t>
            </w:r>
          </w:p>
        </w:tc>
        <w:tc>
          <w:tcPr>
            <w:tcW w:w="527" w:type="pct"/>
            <w:gridSpan w:val="2"/>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二学年</w:t>
            </w:r>
          </w:p>
        </w:tc>
        <w:tc>
          <w:tcPr>
            <w:tcW w:w="542" w:type="pct"/>
            <w:gridSpan w:val="2"/>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三学年</w:t>
            </w:r>
          </w:p>
        </w:tc>
        <w:tc>
          <w:tcPr>
            <w:tcW w:w="34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教学时间</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占总学时比例%</w:t>
            </w: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vMerge w:val="continue"/>
            <w:vAlign w:val="center"/>
          </w:tcPr>
          <w:p>
            <w:pPr>
              <w:widowControl/>
              <w:spacing w:line="300" w:lineRule="exact"/>
              <w:jc w:val="center"/>
              <w:rPr>
                <w:rFonts w:ascii="宋体" w:hAnsi="宋体" w:eastAsia="宋体"/>
                <w:color w:val="000000"/>
                <w:kern w:val="0"/>
                <w:sz w:val="20"/>
                <w:szCs w:val="20"/>
              </w:rPr>
            </w:pP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1855"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学期</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4</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5</w:t>
            </w: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6</w:t>
            </w:r>
          </w:p>
        </w:tc>
        <w:tc>
          <w:tcPr>
            <w:tcW w:w="34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总计</w:t>
            </w:r>
          </w:p>
        </w:tc>
        <w:tc>
          <w:tcPr>
            <w:tcW w:w="445" w:type="pct"/>
            <w:vAlign w:val="center"/>
          </w:tcPr>
          <w:p>
            <w:pPr>
              <w:widowControl/>
              <w:spacing w:line="300" w:lineRule="exact"/>
              <w:jc w:val="center"/>
              <w:rPr>
                <w:rFonts w:ascii="宋体" w:hAnsi="宋体" w:eastAsia="仿宋_GB2312"/>
                <w:color w:val="000000"/>
                <w:kern w:val="0"/>
                <w:sz w:val="20"/>
                <w:szCs w:val="20"/>
              </w:rPr>
            </w:pPr>
          </w:p>
        </w:tc>
        <w:tc>
          <w:tcPr>
            <w:tcW w:w="243" w:type="pct"/>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vMerge w:val="continue"/>
            <w:vAlign w:val="center"/>
          </w:tcPr>
          <w:p>
            <w:pPr>
              <w:widowControl/>
              <w:spacing w:line="300" w:lineRule="exact"/>
              <w:jc w:val="center"/>
              <w:rPr>
                <w:rFonts w:ascii="宋体" w:hAnsi="宋体" w:eastAsia="宋体"/>
                <w:color w:val="000000"/>
                <w:kern w:val="0"/>
                <w:sz w:val="20"/>
                <w:szCs w:val="20"/>
              </w:rPr>
            </w:pP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文化课程</w:t>
            </w:r>
          </w:p>
        </w:tc>
        <w:tc>
          <w:tcPr>
            <w:tcW w:w="261" w:type="pct"/>
            <w:vMerge w:val="restart"/>
            <w:shd w:val="clear" w:color="auto" w:fill="FFFFFF"/>
            <w:vAlign w:val="center"/>
          </w:tcPr>
          <w:p>
            <w:pPr>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课程类别</w:t>
            </w:r>
          </w:p>
        </w:tc>
        <w:tc>
          <w:tcPr>
            <w:tcW w:w="1334" w:type="pct"/>
            <w:vMerge w:val="restart"/>
            <w:shd w:val="clear" w:color="auto" w:fill="FFFFFF"/>
            <w:vAlign w:val="center"/>
          </w:tcPr>
          <w:p>
            <w:pPr>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课程名称</w:t>
            </w:r>
          </w:p>
        </w:tc>
        <w:tc>
          <w:tcPr>
            <w:tcW w:w="1596" w:type="pct"/>
            <w:gridSpan w:val="6"/>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教学周</w:t>
            </w:r>
          </w:p>
        </w:tc>
        <w:tc>
          <w:tcPr>
            <w:tcW w:w="344" w:type="pct"/>
            <w:vMerge w:val="restart"/>
            <w:shd w:val="clear" w:color="auto" w:fill="FFFFFF"/>
            <w:vAlign w:val="center"/>
          </w:tcPr>
          <w:p>
            <w:pPr>
              <w:spacing w:line="300" w:lineRule="exact"/>
              <w:jc w:val="center"/>
              <w:rPr>
                <w:rFonts w:hint="default" w:ascii="宋体" w:hAnsi="宋体" w:eastAsia="仿宋_GB2312"/>
                <w:color w:val="000000"/>
                <w:kern w:val="0"/>
                <w:sz w:val="20"/>
                <w:szCs w:val="20"/>
                <w:lang w:val="en-US" w:eastAsia="zh-CN"/>
              </w:rPr>
            </w:pPr>
            <w:r>
              <w:rPr>
                <w:rFonts w:ascii="宋体" w:hAnsi="宋体" w:eastAsia="仿宋_GB2312"/>
                <w:color w:val="000000"/>
                <w:kern w:val="0"/>
                <w:sz w:val="20"/>
                <w:szCs w:val="20"/>
              </w:rPr>
              <w:t>3</w:t>
            </w:r>
            <w:r>
              <w:rPr>
                <w:rFonts w:hint="eastAsia" w:ascii="宋体" w:hAnsi="宋体" w:eastAsia="仿宋_GB2312"/>
                <w:color w:val="000000"/>
                <w:kern w:val="0"/>
                <w:sz w:val="20"/>
                <w:szCs w:val="20"/>
                <w:lang w:val="en-US" w:eastAsia="zh-CN"/>
              </w:rPr>
              <w:t>600</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vMerge w:val="continue"/>
            <w:vAlign w:val="center"/>
          </w:tcPr>
          <w:p>
            <w:pPr>
              <w:widowControl/>
              <w:spacing w:line="300" w:lineRule="exact"/>
              <w:jc w:val="center"/>
              <w:rPr>
                <w:rFonts w:ascii="宋体" w:hAnsi="宋体" w:eastAsia="宋体"/>
                <w:color w:val="000000"/>
                <w:kern w:val="0"/>
                <w:sz w:val="20"/>
                <w:szCs w:val="20"/>
              </w:rPr>
            </w:pP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vMerge w:val="continue"/>
            <w:vAlign w:val="center"/>
          </w:tcPr>
          <w:p>
            <w:pPr>
              <w:widowControl/>
              <w:spacing w:line="300" w:lineRule="exact"/>
              <w:jc w:val="center"/>
              <w:rPr>
                <w:rFonts w:ascii="宋体" w:hAnsi="宋体" w:eastAsia="宋体"/>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18</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18</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18</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18</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18</w:t>
            </w: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18</w:t>
            </w:r>
          </w:p>
        </w:tc>
        <w:tc>
          <w:tcPr>
            <w:tcW w:w="344" w:type="pct"/>
            <w:vMerge w:val="continue"/>
            <w:vAlign w:val="center"/>
          </w:tcPr>
          <w:p>
            <w:pPr>
              <w:widowControl/>
              <w:spacing w:line="300" w:lineRule="exact"/>
              <w:jc w:val="center"/>
              <w:rPr>
                <w:rFonts w:ascii="宋体" w:hAnsi="宋体" w:eastAsia="宋体"/>
                <w:color w:val="000000"/>
                <w:kern w:val="0"/>
                <w:sz w:val="20"/>
                <w:szCs w:val="20"/>
              </w:rPr>
            </w:pP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一</w:t>
            </w:r>
          </w:p>
        </w:tc>
        <w:tc>
          <w:tcPr>
            <w:tcW w:w="259"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一级课堂</w:t>
            </w: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必修课</w:t>
            </w: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合计</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21</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21</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8</w:t>
            </w:r>
          </w:p>
        </w:tc>
        <w:tc>
          <w:tcPr>
            <w:tcW w:w="264"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8</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7</w:t>
            </w:r>
          </w:p>
        </w:tc>
        <w:tc>
          <w:tcPr>
            <w:tcW w:w="28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7</w:t>
            </w: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2016</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56</w:t>
            </w:r>
            <w:r>
              <w:rPr>
                <w:rFonts w:hint="eastAsia" w:ascii="宋体" w:hAnsi="宋体" w:eastAsia="仿宋_GB2312"/>
                <w:color w:val="000000"/>
                <w:kern w:val="0"/>
                <w:sz w:val="20"/>
                <w:szCs w:val="20"/>
              </w:rPr>
              <w:t>.</w:t>
            </w:r>
            <w:r>
              <w:rPr>
                <w:rFonts w:hint="eastAsia" w:ascii="宋体" w:hAnsi="宋体" w:eastAsia="仿宋_GB2312"/>
                <w:color w:val="000000"/>
                <w:kern w:val="0"/>
                <w:sz w:val="20"/>
                <w:szCs w:val="20"/>
                <w:lang w:val="en-US" w:eastAsia="zh-CN"/>
              </w:rPr>
              <w:t>00</w:t>
            </w:r>
            <w:r>
              <w:rPr>
                <w:rFonts w:hint="eastAsia" w:ascii="宋体" w:hAnsi="宋体" w:eastAsia="仿宋_GB2312"/>
                <w:color w:val="000000"/>
                <w:kern w:val="0"/>
                <w:sz w:val="20"/>
                <w:szCs w:val="20"/>
              </w:rPr>
              <w:t>%</w:t>
            </w: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中国特色社会主义</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2</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72</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心理健康与职业生涯</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哲学与人生</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2</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72</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4</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职业道德与法治</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5</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语文</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4</w:t>
            </w: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4</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w:t>
            </w:r>
          </w:p>
        </w:tc>
        <w:tc>
          <w:tcPr>
            <w:tcW w:w="264"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5</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w:t>
            </w:r>
          </w:p>
        </w:tc>
        <w:tc>
          <w:tcPr>
            <w:tcW w:w="528" w:type="dxa"/>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5</w:t>
            </w: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504</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6</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数学</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5</w:t>
            </w: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5</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w:t>
            </w:r>
          </w:p>
        </w:tc>
        <w:tc>
          <w:tcPr>
            <w:tcW w:w="264"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5</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w:t>
            </w:r>
          </w:p>
        </w:tc>
        <w:tc>
          <w:tcPr>
            <w:tcW w:w="528" w:type="dxa"/>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5</w:t>
            </w: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540</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7</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英语</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4</w:t>
            </w: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4</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64"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5</w:t>
            </w:r>
          </w:p>
        </w:tc>
        <w:tc>
          <w:tcPr>
            <w:tcW w:w="528" w:type="dxa"/>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5</w:t>
            </w: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468</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8</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体育与健康</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2</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2</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528" w:type="dxa"/>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216</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9</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信息技术</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2</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528" w:type="dxa"/>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72</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10</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历史</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2</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72</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11</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艺术</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12</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劳动教育</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二</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选修课</w:t>
            </w: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合计</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264"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264"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28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344"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13</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普通话</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14</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心理健康</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15</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读书活动</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16</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安全教育</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0</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6" w:type="pct"/>
            <w:shd w:val="clear" w:color="auto" w:fill="FFFFFF"/>
            <w:noWrap/>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三</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专业课程</w:t>
            </w:r>
          </w:p>
        </w:tc>
        <w:tc>
          <w:tcPr>
            <w:tcW w:w="1595" w:type="pct"/>
            <w:gridSpan w:val="2"/>
            <w:shd w:val="clear" w:color="auto" w:fill="FFFFFF"/>
            <w:noWrap/>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合计</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12</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12</w:t>
            </w:r>
          </w:p>
        </w:tc>
        <w:tc>
          <w:tcPr>
            <w:tcW w:w="262"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15</w:t>
            </w:r>
          </w:p>
        </w:tc>
        <w:tc>
          <w:tcPr>
            <w:tcW w:w="26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15</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6</w:t>
            </w:r>
          </w:p>
        </w:tc>
        <w:tc>
          <w:tcPr>
            <w:tcW w:w="28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6</w:t>
            </w:r>
          </w:p>
        </w:tc>
        <w:tc>
          <w:tcPr>
            <w:tcW w:w="344" w:type="pct"/>
            <w:shd w:val="clear" w:color="auto" w:fill="FFFFFF"/>
            <w:noWrap/>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rPr>
              <w:t>1</w:t>
            </w:r>
            <w:r>
              <w:rPr>
                <w:rFonts w:hint="eastAsia" w:ascii="宋体" w:hAnsi="宋体" w:eastAsia="仿宋_GB2312"/>
                <w:color w:val="000000"/>
                <w:kern w:val="0"/>
                <w:sz w:val="20"/>
                <w:szCs w:val="20"/>
                <w:lang w:val="en-US" w:eastAsia="zh-CN"/>
              </w:rPr>
              <w:t>584</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44</w:t>
            </w:r>
            <w:r>
              <w:rPr>
                <w:rFonts w:hint="eastAsia" w:ascii="宋体" w:hAnsi="宋体" w:eastAsia="仿宋_GB2312"/>
                <w:color w:val="000000"/>
                <w:kern w:val="0"/>
                <w:sz w:val="20"/>
                <w:szCs w:val="20"/>
              </w:rPr>
              <w:t>.</w:t>
            </w:r>
            <w:r>
              <w:rPr>
                <w:rFonts w:hint="eastAsia" w:ascii="宋体" w:hAnsi="宋体" w:eastAsia="仿宋_GB2312"/>
                <w:color w:val="000000"/>
                <w:kern w:val="0"/>
                <w:sz w:val="20"/>
                <w:szCs w:val="20"/>
                <w:lang w:val="en-US" w:eastAsia="zh-CN"/>
              </w:rPr>
              <w:t>00</w:t>
            </w:r>
            <w:r>
              <w:rPr>
                <w:rFonts w:hint="eastAsia" w:ascii="宋体" w:hAnsi="宋体" w:eastAsia="仿宋_GB2312"/>
                <w:color w:val="000000"/>
                <w:kern w:val="0"/>
                <w:sz w:val="20"/>
                <w:szCs w:val="20"/>
              </w:rPr>
              <w:t>%</w:t>
            </w: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17</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restart"/>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专业核心课</w:t>
            </w:r>
          </w:p>
        </w:tc>
        <w:tc>
          <w:tcPr>
            <w:tcW w:w="1334" w:type="pct"/>
            <w:shd w:val="clear" w:color="auto" w:fill="FFFFFF"/>
            <w:noWrap/>
            <w:vAlign w:val="center"/>
          </w:tcPr>
          <w:p>
            <w:pPr>
              <w:widowControl/>
              <w:spacing w:line="300" w:lineRule="exact"/>
              <w:ind w:firstLine="0" w:firstLineChars="0"/>
              <w:jc w:val="center"/>
              <w:rPr>
                <w:rFonts w:ascii="仿宋_GB2312" w:hAnsi="宋体" w:eastAsia="仿宋_GB2312" w:cs="宋体"/>
                <w:kern w:val="0"/>
                <w:sz w:val="18"/>
                <w:szCs w:val="16"/>
                <w:lang w:val="en-US" w:eastAsia="zh-CN" w:bidi="ar-SA"/>
              </w:rPr>
            </w:pPr>
            <w:r>
              <w:rPr>
                <w:rFonts w:hint="eastAsia" w:ascii="仿宋_GB2312" w:hAnsi="宋体" w:eastAsia="仿宋_GB2312" w:cs="宋体"/>
                <w:kern w:val="0"/>
                <w:sz w:val="18"/>
                <w:szCs w:val="16"/>
              </w:rPr>
              <w:t>基础会计</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64"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64"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4</w:t>
            </w:r>
          </w:p>
        </w:tc>
        <w:tc>
          <w:tcPr>
            <w:tcW w:w="280"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rPr>
              <w:t>4</w:t>
            </w: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432</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18</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noWrap/>
            <w:vAlign w:val="center"/>
          </w:tcPr>
          <w:p>
            <w:pPr>
              <w:widowControl/>
              <w:spacing w:line="300" w:lineRule="exact"/>
              <w:ind w:firstLine="0" w:firstLineChars="0"/>
              <w:jc w:val="center"/>
              <w:rPr>
                <w:rFonts w:ascii="仿宋_GB2312" w:hAnsi="宋体" w:eastAsia="仿宋_GB2312" w:cs="宋体"/>
                <w:kern w:val="0"/>
                <w:sz w:val="18"/>
                <w:szCs w:val="16"/>
                <w:lang w:val="en-US" w:eastAsia="zh-CN" w:bidi="ar-SA"/>
              </w:rPr>
            </w:pPr>
            <w:r>
              <w:rPr>
                <w:rFonts w:hint="eastAsia" w:ascii="仿宋_GB2312" w:hAnsi="宋体" w:eastAsia="仿宋_GB2312" w:cs="宋体"/>
                <w:kern w:val="0"/>
                <w:sz w:val="18"/>
                <w:szCs w:val="16"/>
              </w:rPr>
              <w:t>市场营销知识</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64"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64"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80"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432</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19</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noWrap/>
            <w:vAlign w:val="center"/>
          </w:tcPr>
          <w:p>
            <w:pPr>
              <w:widowControl/>
              <w:spacing w:line="300" w:lineRule="exact"/>
              <w:ind w:firstLine="0" w:firstLineChars="0"/>
              <w:jc w:val="center"/>
              <w:rPr>
                <w:rFonts w:ascii="仿宋_GB2312" w:hAnsi="宋体" w:eastAsia="仿宋_GB2312" w:cs="宋体"/>
                <w:kern w:val="0"/>
                <w:sz w:val="18"/>
                <w:szCs w:val="16"/>
                <w:lang w:val="en-US" w:eastAsia="zh-CN" w:bidi="ar-SA"/>
              </w:rPr>
            </w:pPr>
            <w:r>
              <w:rPr>
                <w:rFonts w:hint="eastAsia" w:ascii="仿宋_GB2312" w:hAnsi="宋体" w:eastAsia="仿宋_GB2312" w:cs="宋体"/>
                <w:kern w:val="0"/>
                <w:sz w:val="18"/>
                <w:szCs w:val="16"/>
              </w:rPr>
              <w:t>经济法律法规</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64"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64"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80" w:type="pct"/>
            <w:shd w:val="clear" w:color="auto" w:fill="FFFFFF"/>
            <w:vAlign w:val="center"/>
          </w:tcPr>
          <w:p>
            <w:pPr>
              <w:widowControl/>
              <w:spacing w:line="300" w:lineRule="exact"/>
              <w:ind w:firstLine="0" w:firstLineChars="0"/>
              <w:jc w:val="center"/>
              <w:rPr>
                <w:rFonts w:hint="eastAsia"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4</w:t>
            </w: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432</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20</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noWrap/>
            <w:vAlign w:val="center"/>
          </w:tcPr>
          <w:p>
            <w:pPr>
              <w:widowControl/>
              <w:spacing w:line="300" w:lineRule="exact"/>
              <w:ind w:firstLine="0" w:firstLineChars="0"/>
              <w:jc w:val="center"/>
              <w:rPr>
                <w:rFonts w:ascii="仿宋_GB2312" w:hAnsi="宋体" w:eastAsia="仿宋_GB2312" w:cs="宋体"/>
                <w:kern w:val="0"/>
                <w:sz w:val="18"/>
                <w:szCs w:val="16"/>
                <w:lang w:val="en-US" w:eastAsia="zh-CN" w:bidi="ar-SA"/>
              </w:rPr>
            </w:pPr>
            <w:r>
              <w:rPr>
                <w:rFonts w:hint="eastAsia" w:ascii="仿宋_GB2312" w:hAnsi="宋体" w:eastAsia="仿宋_GB2312" w:cs="宋体"/>
                <w:kern w:val="0"/>
                <w:sz w:val="18"/>
                <w:szCs w:val="16"/>
              </w:rPr>
              <w:t>企业财务会计</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ind w:firstLine="0" w:firstLineChars="0"/>
              <w:jc w:val="center"/>
              <w:rPr>
                <w:rFonts w:ascii="宋体" w:hAnsi="宋体" w:eastAsia="仿宋_GB2312" w:cstheme="minorBidi"/>
                <w:color w:val="000000"/>
                <w:kern w:val="0"/>
                <w:sz w:val="20"/>
                <w:szCs w:val="20"/>
                <w:lang w:val="en-US" w:eastAsia="zh-CN" w:bidi="ar-SA"/>
              </w:rPr>
            </w:pPr>
          </w:p>
        </w:tc>
        <w:tc>
          <w:tcPr>
            <w:tcW w:w="262"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w:t>
            </w:r>
          </w:p>
        </w:tc>
        <w:tc>
          <w:tcPr>
            <w:tcW w:w="264" w:type="pct"/>
            <w:shd w:val="clear" w:color="auto" w:fill="FFFFFF"/>
            <w:vAlign w:val="center"/>
          </w:tcPr>
          <w:p>
            <w:pPr>
              <w:widowControl/>
              <w:spacing w:line="300" w:lineRule="exact"/>
              <w:ind w:firstLine="0" w:firstLineChars="0"/>
              <w:jc w:val="center"/>
              <w:rPr>
                <w:rFonts w:hint="default"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1</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72</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四</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noWrap/>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合计</w:t>
            </w:r>
          </w:p>
        </w:tc>
        <w:tc>
          <w:tcPr>
            <w:tcW w:w="262"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12</w:t>
            </w:r>
          </w:p>
        </w:tc>
        <w:tc>
          <w:tcPr>
            <w:tcW w:w="264" w:type="pct"/>
            <w:shd w:val="clear" w:color="auto" w:fill="FFFFFF"/>
            <w:vAlign w:val="center"/>
          </w:tcPr>
          <w:p>
            <w:pPr>
              <w:widowControl/>
              <w:spacing w:line="300" w:lineRule="exact"/>
              <w:ind w:firstLine="0" w:firstLineChars="0"/>
              <w:jc w:val="center"/>
              <w:rPr>
                <w:rFonts w:hint="default" w:ascii="宋体" w:hAnsi="宋体" w:eastAsia="仿宋_GB2312" w:cstheme="minorBidi"/>
                <w:color w:val="000000"/>
                <w:kern w:val="0"/>
                <w:sz w:val="20"/>
                <w:szCs w:val="20"/>
                <w:lang w:val="en-US" w:eastAsia="zh-CN" w:bidi="ar-SA"/>
              </w:rPr>
            </w:pPr>
            <w:r>
              <w:rPr>
                <w:rFonts w:hint="eastAsia" w:ascii="宋体" w:hAnsi="宋体" w:eastAsia="仿宋_GB2312"/>
                <w:color w:val="000000"/>
                <w:kern w:val="0"/>
                <w:sz w:val="20"/>
                <w:szCs w:val="20"/>
                <w:lang w:val="en-US" w:eastAsia="zh-CN"/>
              </w:rPr>
              <w:t>12</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1</w:t>
            </w:r>
            <w:r>
              <w:rPr>
                <w:rFonts w:hint="eastAsia" w:ascii="宋体" w:hAnsi="宋体" w:eastAsia="仿宋_GB2312"/>
                <w:color w:val="000000"/>
                <w:kern w:val="0"/>
                <w:sz w:val="20"/>
                <w:szCs w:val="20"/>
              </w:rPr>
              <w:t>3</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1</w:t>
            </w:r>
            <w:r>
              <w:rPr>
                <w:rFonts w:hint="eastAsia" w:ascii="宋体" w:hAnsi="宋体" w:eastAsia="仿宋_GB2312"/>
                <w:color w:val="000000"/>
                <w:kern w:val="0"/>
                <w:sz w:val="20"/>
                <w:szCs w:val="20"/>
              </w:rPr>
              <w:t>3</w:t>
            </w:r>
          </w:p>
        </w:tc>
        <w:tc>
          <w:tcPr>
            <w:tcW w:w="262"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12</w:t>
            </w:r>
          </w:p>
        </w:tc>
        <w:tc>
          <w:tcPr>
            <w:tcW w:w="280"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12</w:t>
            </w: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1368</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24</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restart"/>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专业技能课</w:t>
            </w:r>
          </w:p>
        </w:tc>
        <w:tc>
          <w:tcPr>
            <w:tcW w:w="1334"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仿宋_GB2312" w:hAnsi="宋体" w:eastAsia="仿宋_GB2312" w:cs="宋体"/>
                <w:kern w:val="0"/>
                <w:sz w:val="18"/>
                <w:szCs w:val="16"/>
              </w:rPr>
              <w:t>会计基本技能</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w:t>
            </w:r>
          </w:p>
        </w:tc>
        <w:tc>
          <w:tcPr>
            <w:tcW w:w="264"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72</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25</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仿宋_GB2312" w:hAnsi="宋体" w:eastAsia="仿宋_GB2312" w:cs="宋体"/>
                <w:kern w:val="0"/>
                <w:sz w:val="18"/>
                <w:szCs w:val="16"/>
              </w:rPr>
              <w:t>基础会计实训</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w:t>
            </w:r>
          </w:p>
        </w:tc>
        <w:tc>
          <w:tcPr>
            <w:tcW w:w="280"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2</w:t>
            </w: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72</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26</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仿宋_GB2312" w:hAnsi="宋体" w:eastAsia="仿宋_GB2312" w:cs="宋体"/>
                <w:kern w:val="0"/>
                <w:sz w:val="18"/>
                <w:szCs w:val="16"/>
              </w:rPr>
              <w:t>会计电算化</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w:t>
            </w:r>
          </w:p>
        </w:tc>
        <w:tc>
          <w:tcPr>
            <w:tcW w:w="280" w:type="pct"/>
            <w:shd w:val="clear" w:color="auto" w:fill="FFFFFF"/>
            <w:vAlign w:val="center"/>
          </w:tcPr>
          <w:p>
            <w:pPr>
              <w:widowControl/>
              <w:spacing w:line="300" w:lineRule="exact"/>
              <w:ind w:firstLine="0" w:firstLineChars="0"/>
              <w:jc w:val="center"/>
              <w:rPr>
                <w:rFonts w:ascii="宋体" w:hAnsi="宋体" w:eastAsia="仿宋_GB2312"/>
                <w:color w:val="000000"/>
                <w:kern w:val="0"/>
                <w:sz w:val="20"/>
                <w:szCs w:val="20"/>
              </w:rPr>
            </w:pPr>
            <w:r>
              <w:rPr>
                <w:rFonts w:hint="eastAsia" w:ascii="宋体" w:hAnsi="宋体" w:eastAsia="仿宋_GB2312"/>
                <w:color w:val="000000"/>
                <w:kern w:val="0"/>
                <w:sz w:val="20"/>
                <w:szCs w:val="20"/>
                <w:lang w:val="en-US" w:eastAsia="zh-CN"/>
              </w:rPr>
              <w:t>2</w:t>
            </w: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72</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五</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260" w:type="pct"/>
            <w:vMerge w:val="continue"/>
            <w:vAlign w:val="center"/>
          </w:tcPr>
          <w:p>
            <w:pPr>
              <w:widowControl/>
              <w:spacing w:line="300" w:lineRule="exact"/>
              <w:jc w:val="center"/>
              <w:rPr>
                <w:rFonts w:ascii="宋体" w:hAnsi="宋体" w:eastAsia="宋体"/>
                <w:color w:val="000000"/>
                <w:kern w:val="0"/>
                <w:sz w:val="20"/>
                <w:szCs w:val="20"/>
              </w:rPr>
            </w:pPr>
          </w:p>
        </w:tc>
        <w:tc>
          <w:tcPr>
            <w:tcW w:w="261" w:type="pct"/>
            <w:vMerge w:val="continue"/>
            <w:vAlign w:val="center"/>
          </w:tcPr>
          <w:p>
            <w:pPr>
              <w:widowControl/>
              <w:spacing w:line="300" w:lineRule="exact"/>
              <w:jc w:val="center"/>
              <w:rPr>
                <w:rFonts w:ascii="宋体" w:hAnsi="宋体" w:eastAsia="宋体"/>
                <w:color w:val="000000"/>
                <w:kern w:val="0"/>
                <w:sz w:val="20"/>
                <w:szCs w:val="20"/>
              </w:rPr>
            </w:pPr>
          </w:p>
        </w:tc>
        <w:tc>
          <w:tcPr>
            <w:tcW w:w="133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合计</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264"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0</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w:t>
            </w:r>
          </w:p>
        </w:tc>
        <w:tc>
          <w:tcPr>
            <w:tcW w:w="264"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w:t>
            </w:r>
          </w:p>
        </w:tc>
        <w:tc>
          <w:tcPr>
            <w:tcW w:w="262"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280" w:type="pct"/>
            <w:shd w:val="clear" w:color="auto" w:fill="FFFFFF"/>
            <w:vAlign w:val="center"/>
          </w:tcPr>
          <w:p>
            <w:pPr>
              <w:widowControl/>
              <w:spacing w:line="300" w:lineRule="exact"/>
              <w:jc w:val="center"/>
              <w:rPr>
                <w:rFonts w:hint="eastAsia"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4</w:t>
            </w:r>
          </w:p>
        </w:tc>
        <w:tc>
          <w:tcPr>
            <w:tcW w:w="344" w:type="pct"/>
            <w:shd w:val="clear" w:color="auto" w:fill="FFFFFF"/>
            <w:vAlign w:val="center"/>
          </w:tcPr>
          <w:p>
            <w:pPr>
              <w:widowControl/>
              <w:spacing w:line="300" w:lineRule="exact"/>
              <w:jc w:val="center"/>
              <w:rPr>
                <w:rFonts w:hint="default" w:ascii="宋体" w:hAnsi="宋体" w:eastAsia="仿宋_GB2312"/>
                <w:color w:val="000000"/>
                <w:kern w:val="0"/>
                <w:sz w:val="20"/>
                <w:szCs w:val="20"/>
                <w:lang w:val="en-US" w:eastAsia="zh-CN"/>
              </w:rPr>
            </w:pPr>
            <w:r>
              <w:rPr>
                <w:rFonts w:hint="eastAsia" w:ascii="宋体" w:hAnsi="宋体" w:eastAsia="仿宋_GB2312"/>
                <w:color w:val="000000"/>
                <w:kern w:val="0"/>
                <w:sz w:val="20"/>
                <w:szCs w:val="20"/>
                <w:lang w:val="en-US" w:eastAsia="zh-CN"/>
              </w:rPr>
              <w:t>216</w:t>
            </w:r>
          </w:p>
        </w:tc>
        <w:tc>
          <w:tcPr>
            <w:tcW w:w="445" w:type="pct"/>
            <w:shd w:val="clear" w:color="auto" w:fill="FFFFFF"/>
            <w:vAlign w:val="center"/>
          </w:tcPr>
          <w:p>
            <w:pPr>
              <w:widowControl/>
              <w:spacing w:line="300" w:lineRule="exact"/>
              <w:jc w:val="center"/>
              <w:rPr>
                <w:rFonts w:ascii="宋体" w:hAnsi="宋体" w:eastAsia="仿宋_GB2312"/>
                <w:color w:val="FF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六</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1855"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复习考试（周）</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34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七</w:t>
            </w:r>
          </w:p>
        </w:tc>
        <w:tc>
          <w:tcPr>
            <w:tcW w:w="259"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二级课堂</w:t>
            </w:r>
          </w:p>
        </w:tc>
        <w:tc>
          <w:tcPr>
            <w:tcW w:w="1855"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入学教育（军训）（周）</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33</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不在正常教学周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八</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1855"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社团活动课</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2</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36</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九</w:t>
            </w:r>
          </w:p>
        </w:tc>
        <w:tc>
          <w:tcPr>
            <w:tcW w:w="259" w:type="pct"/>
            <w:vMerge w:val="restar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三级课堂</w:t>
            </w:r>
          </w:p>
        </w:tc>
        <w:tc>
          <w:tcPr>
            <w:tcW w:w="1855"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认知实习</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课余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十</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1855"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生产实习（周）</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66</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根据需要安排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十一</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1855"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综合实训（周）</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1</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66</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根据需要安排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6"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十二</w:t>
            </w:r>
          </w:p>
        </w:tc>
        <w:tc>
          <w:tcPr>
            <w:tcW w:w="259" w:type="pct"/>
            <w:vMerge w:val="continue"/>
            <w:vAlign w:val="center"/>
          </w:tcPr>
          <w:p>
            <w:pPr>
              <w:widowControl/>
              <w:spacing w:line="300" w:lineRule="exact"/>
              <w:jc w:val="center"/>
              <w:rPr>
                <w:rFonts w:ascii="宋体" w:hAnsi="宋体" w:eastAsia="宋体"/>
                <w:color w:val="000000"/>
                <w:kern w:val="0"/>
                <w:sz w:val="20"/>
                <w:szCs w:val="20"/>
              </w:rPr>
            </w:pPr>
          </w:p>
        </w:tc>
        <w:tc>
          <w:tcPr>
            <w:tcW w:w="1855" w:type="pct"/>
            <w:gridSpan w:val="3"/>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顶岗实习（月）</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34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0</w:t>
            </w: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70" w:type="pct"/>
            <w:gridSpan w:val="5"/>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周学时数</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33</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33</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33</w:t>
            </w:r>
          </w:p>
        </w:tc>
        <w:tc>
          <w:tcPr>
            <w:tcW w:w="264"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33</w:t>
            </w:r>
          </w:p>
        </w:tc>
        <w:tc>
          <w:tcPr>
            <w:tcW w:w="262"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33</w:t>
            </w:r>
          </w:p>
        </w:tc>
        <w:tc>
          <w:tcPr>
            <w:tcW w:w="280" w:type="pct"/>
            <w:shd w:val="clear" w:color="auto" w:fill="FFFFFF"/>
            <w:vAlign w:val="center"/>
          </w:tcPr>
          <w:p>
            <w:pPr>
              <w:widowControl/>
              <w:spacing w:line="300" w:lineRule="exact"/>
              <w:jc w:val="center"/>
              <w:rPr>
                <w:rFonts w:ascii="宋体" w:hAnsi="宋体" w:eastAsia="仿宋_GB2312"/>
                <w:color w:val="000000"/>
                <w:kern w:val="0"/>
                <w:sz w:val="20"/>
                <w:szCs w:val="20"/>
              </w:rPr>
            </w:pPr>
            <w:r>
              <w:rPr>
                <w:rFonts w:hint="eastAsia" w:ascii="宋体" w:hAnsi="宋体" w:eastAsia="仿宋_GB2312"/>
                <w:color w:val="000000"/>
                <w:kern w:val="0"/>
                <w:sz w:val="20"/>
                <w:szCs w:val="20"/>
              </w:rPr>
              <w:t>33</w:t>
            </w:r>
          </w:p>
        </w:tc>
        <w:tc>
          <w:tcPr>
            <w:tcW w:w="344"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445" w:type="pct"/>
            <w:shd w:val="clear" w:color="auto" w:fill="FFFFFF"/>
            <w:vAlign w:val="center"/>
          </w:tcPr>
          <w:p>
            <w:pPr>
              <w:widowControl/>
              <w:spacing w:line="300" w:lineRule="exact"/>
              <w:jc w:val="center"/>
              <w:rPr>
                <w:rFonts w:ascii="宋体" w:hAnsi="宋体" w:eastAsia="仿宋_GB2312"/>
                <w:color w:val="000000"/>
                <w:kern w:val="0"/>
                <w:sz w:val="20"/>
                <w:szCs w:val="20"/>
              </w:rPr>
            </w:pPr>
          </w:p>
        </w:tc>
        <w:tc>
          <w:tcPr>
            <w:tcW w:w="243" w:type="pct"/>
            <w:shd w:val="clear" w:color="auto" w:fill="FFFFFF"/>
            <w:vAlign w:val="center"/>
          </w:tcPr>
          <w:p>
            <w:pPr>
              <w:widowControl/>
              <w:spacing w:line="300" w:lineRule="exact"/>
              <w:jc w:val="center"/>
              <w:rPr>
                <w:rFonts w:ascii="宋体" w:hAnsi="宋体" w:eastAsia="仿宋_GB2312"/>
                <w:color w:val="000000"/>
                <w:kern w:val="0"/>
                <w:sz w:val="20"/>
                <w:szCs w:val="20"/>
              </w:rPr>
            </w:pPr>
          </w:p>
        </w:tc>
      </w:tr>
    </w:tbl>
    <w:p>
      <w:pPr>
        <w:keepNext/>
        <w:keepLines/>
        <w:widowControl/>
        <w:spacing w:before="190" w:beforeLines="50" w:after="190" w:afterLines="50" w:line="360" w:lineRule="auto"/>
        <w:outlineLvl w:val="0"/>
        <w:rPr>
          <w:rFonts w:ascii="仿宋_GB2312" w:hAnsi="仿宋" w:eastAsia="仿宋_GB2312" w:cs="宋体"/>
          <w:b/>
          <w:bCs/>
          <w:kern w:val="0"/>
          <w:sz w:val="28"/>
          <w:szCs w:val="28"/>
        </w:rPr>
      </w:pPr>
      <w:r>
        <w:rPr>
          <w:rFonts w:hint="eastAsia" w:ascii="仿宋" w:hAnsi="仿宋" w:eastAsia="黑体"/>
          <w:b/>
          <w:bCs/>
          <w:kern w:val="44"/>
          <w:sz w:val="32"/>
          <w:szCs w:val="44"/>
        </w:rPr>
        <w:t xml:space="preserve"> </w:t>
      </w:r>
      <w:bookmarkStart w:id="104" w:name="_Toc89266113"/>
      <w:r>
        <w:rPr>
          <w:rFonts w:hint="eastAsia" w:ascii="仿宋" w:hAnsi="仿宋" w:eastAsia="黑体"/>
          <w:b/>
          <w:bCs/>
          <w:kern w:val="44"/>
          <w:sz w:val="32"/>
          <w:szCs w:val="44"/>
        </w:rPr>
        <w:t>八、实施保障</w:t>
      </w:r>
      <w:bookmarkEnd w:id="104"/>
    </w:p>
    <w:p>
      <w:pPr>
        <w:keepNext/>
        <w:keepLines/>
        <w:widowControl/>
        <w:spacing w:before="190" w:beforeLines="50" w:after="190" w:afterLines="50" w:line="500" w:lineRule="exact"/>
        <w:jc w:val="left"/>
        <w:outlineLvl w:val="1"/>
        <w:rPr>
          <w:rFonts w:ascii="仿宋" w:hAnsi="黑体" w:eastAsia="黑体" w:cs="Times New Roman"/>
          <w:b/>
          <w:bCs/>
          <w:sz w:val="30"/>
          <w:szCs w:val="32"/>
        </w:rPr>
      </w:pPr>
      <w:bookmarkStart w:id="105" w:name="_Toc40343071"/>
      <w:bookmarkEnd w:id="105"/>
      <w:bookmarkStart w:id="106" w:name="_Toc24999"/>
      <w:bookmarkEnd w:id="106"/>
      <w:bookmarkStart w:id="107" w:name="_Toc86244992"/>
      <w:bookmarkEnd w:id="107"/>
      <w:bookmarkStart w:id="108" w:name="_Toc89266114"/>
      <w:bookmarkStart w:id="109" w:name="_Toc40345211"/>
      <w:r>
        <w:rPr>
          <w:rFonts w:hint="eastAsia" w:ascii="仿宋" w:hAnsi="仿宋" w:eastAsia="黑体" w:cstheme="majorBidi"/>
          <w:b/>
          <w:bCs/>
          <w:sz w:val="30"/>
          <w:szCs w:val="32"/>
        </w:rPr>
        <w:t>（一）师资队伍</w:t>
      </w:r>
      <w:bookmarkEnd w:id="108"/>
      <w:bookmarkEnd w:id="109"/>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我校</w:t>
      </w:r>
      <w:r>
        <w:rPr>
          <w:rFonts w:hint="eastAsia" w:ascii="仿宋_GB2312" w:hAnsi="Calibri" w:eastAsia="仿宋_GB2312" w:cs="Times New Roman"/>
          <w:sz w:val="28"/>
          <w:szCs w:val="28"/>
          <w:lang w:val="en-US" w:eastAsia="zh-CN"/>
        </w:rPr>
        <w:t>会计事务</w:t>
      </w:r>
      <w:r>
        <w:rPr>
          <w:rFonts w:hint="eastAsia" w:ascii="仿宋_GB2312" w:hAnsi="Calibri" w:eastAsia="仿宋_GB2312" w:cs="Times New Roman"/>
          <w:sz w:val="28"/>
          <w:szCs w:val="28"/>
        </w:rPr>
        <w:t>专业现有班级</w:t>
      </w:r>
      <w:r>
        <w:rPr>
          <w:rFonts w:hint="eastAsia" w:ascii="仿宋_GB2312" w:hAnsi="Calibri" w:eastAsia="仿宋_GB2312" w:cs="Times New Roman"/>
          <w:sz w:val="28"/>
          <w:szCs w:val="28"/>
          <w:lang w:val="en-US" w:eastAsia="zh-CN"/>
        </w:rPr>
        <w:t>6</w:t>
      </w:r>
      <w:r>
        <w:rPr>
          <w:rFonts w:hint="eastAsia" w:ascii="仿宋_GB2312" w:hAnsi="Calibri" w:eastAsia="仿宋_GB2312" w:cs="Times New Roman"/>
          <w:sz w:val="28"/>
          <w:szCs w:val="28"/>
        </w:rPr>
        <w:t>个</w:t>
      </w:r>
      <w:r>
        <w:rPr>
          <w:rFonts w:hint="eastAsia" w:ascii="仿宋_GB2312" w:hAnsi="Calibri" w:eastAsia="仿宋_GB2312" w:cs="Times New Roman"/>
          <w:sz w:val="28"/>
          <w:szCs w:val="28"/>
          <w:lang w:val="en-US" w:eastAsia="zh-CN"/>
        </w:rPr>
        <w:t>班</w:t>
      </w:r>
      <w:r>
        <w:rPr>
          <w:rFonts w:hint="eastAsia" w:ascii="仿宋_GB2312" w:hAnsi="Calibri" w:eastAsia="仿宋_GB2312" w:cs="Times New Roman"/>
          <w:sz w:val="28"/>
          <w:szCs w:val="28"/>
        </w:rPr>
        <w:t>，根据《教育部关于“十二五”期间加强中等职业学校教师队伍建设的意见》，依据设备、办学规模等情况确定教师结构及数量。</w:t>
      </w:r>
    </w:p>
    <w:p>
      <w:pPr>
        <w:keepNext/>
        <w:keepLines/>
        <w:widowControl/>
        <w:spacing w:before="190" w:beforeLines="50" w:after="190" w:afterLines="50" w:line="500" w:lineRule="exact"/>
        <w:jc w:val="left"/>
        <w:outlineLvl w:val="2"/>
        <w:rPr>
          <w:rFonts w:ascii="仿宋" w:hAnsi="仿宋" w:eastAsia="黑体"/>
          <w:b/>
          <w:bCs/>
          <w:sz w:val="30"/>
          <w:szCs w:val="32"/>
        </w:rPr>
      </w:pPr>
      <w:bookmarkStart w:id="110" w:name="_Toc441587107"/>
      <w:bookmarkEnd w:id="110"/>
      <w:bookmarkStart w:id="111" w:name="_Toc7021"/>
      <w:bookmarkEnd w:id="111"/>
      <w:bookmarkStart w:id="112" w:name="_Toc40345212"/>
      <w:bookmarkEnd w:id="112"/>
      <w:bookmarkStart w:id="113" w:name="_Toc40343072"/>
      <w:r>
        <w:rPr>
          <w:rFonts w:hint="eastAsia" w:ascii="仿宋" w:hAnsi="仿宋" w:eastAsia="黑体"/>
          <w:b/>
          <w:bCs/>
          <w:sz w:val="30"/>
          <w:szCs w:val="32"/>
        </w:rPr>
        <w:t>1、专业带头人</w:t>
      </w:r>
      <w:bookmarkEnd w:id="113"/>
    </w:p>
    <w:p>
      <w:pPr>
        <w:pStyle w:val="47"/>
      </w:pPr>
      <w:r>
        <w:rPr>
          <w:rFonts w:hint="eastAsia"/>
        </w:rPr>
        <w:t>（1）基本条件</w:t>
      </w:r>
    </w:p>
    <w:p>
      <w:pPr>
        <w:pStyle w:val="47"/>
        <w:rPr>
          <w:rFonts w:cs="宋体"/>
          <w:kern w:val="0"/>
        </w:rPr>
      </w:pPr>
      <w:r>
        <w:rPr>
          <w:rFonts w:hint="eastAsia" w:cs="宋体"/>
          <w:kern w:val="0"/>
        </w:rPr>
        <w:t>具有中职教师资格证，取得中级及以上专业技术职称，大学本科及以上学历，师德师风高尚，热爱教育事业，服从学校工作安排，主动承担专业课程教学工作。</w:t>
      </w:r>
    </w:p>
    <w:p>
      <w:pPr>
        <w:pStyle w:val="47"/>
      </w:pPr>
      <w:r>
        <w:rPr>
          <w:rFonts w:hint="eastAsia"/>
        </w:rPr>
        <w:t>（2）行业职业能力</w:t>
      </w:r>
    </w:p>
    <w:p>
      <w:pPr>
        <w:pStyle w:val="47"/>
        <w:rPr>
          <w:rFonts w:cs="宋体"/>
          <w:kern w:val="0"/>
        </w:rPr>
      </w:pPr>
      <w:r>
        <w:rPr>
          <w:rFonts w:hint="eastAsia" w:cs="宋体"/>
          <w:kern w:val="0"/>
        </w:rPr>
        <w:t>行业实践能力强，能具备行业企业调研组织及撰写调研报告能力。</w:t>
      </w:r>
    </w:p>
    <w:p>
      <w:pPr>
        <w:pStyle w:val="47"/>
      </w:pPr>
      <w:r>
        <w:rPr>
          <w:rFonts w:hint="eastAsia"/>
        </w:rPr>
        <w:t>（3）教学科研能力</w:t>
      </w:r>
    </w:p>
    <w:p>
      <w:pPr>
        <w:pStyle w:val="47"/>
        <w:rPr>
          <w:rFonts w:cs="宋体"/>
          <w:kern w:val="0"/>
        </w:rPr>
      </w:pPr>
      <w:r>
        <w:rPr>
          <w:rFonts w:hint="eastAsia" w:cs="宋体"/>
          <w:kern w:val="0"/>
        </w:rPr>
        <w:t>具备主持校级以上科研课题的能力，具备参与市区级科研课题研究的能力；</w:t>
      </w:r>
    </w:p>
    <w:p>
      <w:pPr>
        <w:pStyle w:val="47"/>
        <w:rPr>
          <w:rFonts w:cs="宋体"/>
          <w:bCs/>
          <w:kern w:val="0"/>
        </w:rPr>
      </w:pPr>
      <w:r>
        <w:rPr>
          <w:rFonts w:hint="eastAsia" w:cs="宋体"/>
          <w:bCs/>
          <w:kern w:val="0"/>
        </w:rPr>
        <w:t>具备独立撰写论文，开发课程的能力；</w:t>
      </w:r>
    </w:p>
    <w:p>
      <w:pPr>
        <w:pStyle w:val="47"/>
        <w:rPr>
          <w:rFonts w:cs="宋体"/>
          <w:bCs/>
          <w:kern w:val="0"/>
        </w:rPr>
      </w:pPr>
      <w:r>
        <w:rPr>
          <w:rFonts w:hint="eastAsia" w:cs="宋体"/>
          <w:bCs/>
          <w:kern w:val="0"/>
        </w:rPr>
        <w:t>具备主持教育教学改革和撰写改革方案、教学标准的能力；</w:t>
      </w:r>
    </w:p>
    <w:p>
      <w:pPr>
        <w:pStyle w:val="47"/>
        <w:rPr>
          <w:rFonts w:cs="宋体"/>
          <w:bCs/>
          <w:kern w:val="0"/>
        </w:rPr>
      </w:pPr>
      <w:r>
        <w:rPr>
          <w:rFonts w:hint="eastAsia" w:cs="宋体"/>
          <w:bCs/>
          <w:kern w:val="0"/>
        </w:rPr>
        <w:t>具备撰写专业发展和适时提出专业发展建设性意见的能力。</w:t>
      </w:r>
    </w:p>
    <w:p>
      <w:pPr>
        <w:pStyle w:val="47"/>
      </w:pPr>
      <w:r>
        <w:rPr>
          <w:rFonts w:hint="eastAsia"/>
        </w:rPr>
        <w:t>（4）业务指导能力</w:t>
      </w:r>
    </w:p>
    <w:p>
      <w:pPr>
        <w:pStyle w:val="47"/>
        <w:rPr>
          <w:rFonts w:ascii="仿宋_GB2312" w:hAnsi="Calibri" w:eastAsia="仿宋_GB2312" w:cs="Times New Roman"/>
          <w:sz w:val="28"/>
          <w:szCs w:val="28"/>
        </w:rPr>
      </w:pPr>
      <w:r>
        <w:rPr>
          <w:rFonts w:hint="eastAsia" w:cs="宋体"/>
          <w:kern w:val="0"/>
        </w:rPr>
        <w:t>具有承担各类大赛指导，指导青年教师成长的能力。</w:t>
      </w:r>
    </w:p>
    <w:p>
      <w:pPr>
        <w:keepNext/>
        <w:keepLines/>
        <w:widowControl/>
        <w:spacing w:before="190" w:beforeLines="50" w:after="190" w:afterLines="50" w:line="500" w:lineRule="exact"/>
        <w:jc w:val="left"/>
        <w:outlineLvl w:val="2"/>
        <w:rPr>
          <w:rFonts w:ascii="仿宋" w:hAnsi="仿宋" w:eastAsia="黑体" w:cs="Times New Roman"/>
          <w:b/>
          <w:bCs/>
          <w:sz w:val="30"/>
          <w:szCs w:val="32"/>
        </w:rPr>
      </w:pPr>
      <w:bookmarkStart w:id="114" w:name="_Toc40345213"/>
      <w:bookmarkEnd w:id="114"/>
      <w:bookmarkStart w:id="115" w:name="_Toc441587108"/>
      <w:bookmarkEnd w:id="115"/>
      <w:bookmarkStart w:id="116" w:name="_Toc40343073"/>
      <w:bookmarkEnd w:id="116"/>
      <w:bookmarkStart w:id="117" w:name="_Toc20957"/>
      <w:r>
        <w:rPr>
          <w:rFonts w:hint="eastAsia" w:ascii="仿宋" w:hAnsi="仿宋" w:eastAsia="黑体"/>
          <w:b/>
          <w:bCs/>
          <w:sz w:val="30"/>
          <w:szCs w:val="32"/>
        </w:rPr>
        <w:t>2、骨干教师</w:t>
      </w:r>
      <w:bookmarkEnd w:id="117"/>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（1）基本条件</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具有中职教师资格证，取得相应的专业技术职称，大学本科及以上学历，师德师风高尚，热爱教育事业，服从学校工作安排，主动承担学科教学工作。</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（2）行业职业能力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行业实践能力强，能参与行业企业调研及撰写调研报告能力。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（3）教学科研能力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具备主持或参与校级以上科研课题的能力。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具备撰写论文及参与教材编写、课程开发的能力。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具备参与教学改革及相关方案的编写及实验工作。</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（4）业务指导能力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积极参加指导大赛，指导青年教师成长的能力。</w:t>
      </w:r>
    </w:p>
    <w:p>
      <w:pPr>
        <w:keepNext/>
        <w:keepLines/>
        <w:widowControl/>
        <w:spacing w:before="190" w:beforeLines="50" w:after="190" w:afterLines="50" w:line="500" w:lineRule="exact"/>
        <w:jc w:val="left"/>
        <w:outlineLvl w:val="2"/>
        <w:rPr>
          <w:rFonts w:ascii="仿宋" w:hAnsi="仿宋" w:eastAsia="黑体" w:cs="Times New Roman"/>
          <w:b/>
          <w:bCs/>
          <w:sz w:val="30"/>
          <w:szCs w:val="32"/>
        </w:rPr>
      </w:pPr>
      <w:bookmarkStart w:id="118" w:name="_Toc441587109"/>
      <w:bookmarkEnd w:id="118"/>
      <w:bookmarkStart w:id="119" w:name="_Toc40345214"/>
      <w:bookmarkEnd w:id="119"/>
      <w:bookmarkStart w:id="120" w:name="_Toc21621"/>
      <w:bookmarkEnd w:id="120"/>
      <w:bookmarkStart w:id="121" w:name="_Toc40343074"/>
      <w:r>
        <w:rPr>
          <w:rFonts w:hint="eastAsia" w:ascii="仿宋" w:hAnsi="仿宋" w:eastAsia="黑体"/>
          <w:b/>
          <w:bCs/>
          <w:sz w:val="30"/>
          <w:szCs w:val="32"/>
        </w:rPr>
        <w:t>3、双师型教师</w:t>
      </w:r>
      <w:bookmarkEnd w:id="121"/>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（1）基本条件</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具有中职教师资格证，取得相应的专业技术职称，大学专科及以上学历，具备中级以上的技能等级证书，师德师风高尚，热爱教育事业，服从学校工作安排，主动承担学科教学工作。</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（2）行业职业能力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行业实践能力强，能参与行业企业调研及调研资料收集整理及分析工作。</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（3）教学科研能力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具备承担实训课改的能力，具备实训课题收集，实验及使用的能力；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具备参与校级课题研究或实验的能力；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具备参与撰写论文的能力。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（4）业务指导能力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具备指导技能鉴定的能力。</w:t>
      </w:r>
    </w:p>
    <w:p>
      <w:pPr>
        <w:keepNext/>
        <w:keepLines/>
        <w:widowControl/>
        <w:spacing w:before="190" w:beforeLines="50" w:after="190" w:afterLines="50" w:line="500" w:lineRule="exact"/>
        <w:jc w:val="left"/>
        <w:outlineLvl w:val="2"/>
        <w:rPr>
          <w:rFonts w:ascii="仿宋" w:hAnsi="仿宋" w:eastAsia="黑体" w:cs="Times New Roman"/>
          <w:b/>
          <w:bCs/>
          <w:sz w:val="30"/>
          <w:szCs w:val="32"/>
        </w:rPr>
      </w:pPr>
      <w:bookmarkStart w:id="122" w:name="_Toc40345215"/>
      <w:bookmarkEnd w:id="122"/>
      <w:bookmarkStart w:id="123" w:name="_Toc441587110"/>
      <w:bookmarkEnd w:id="123"/>
      <w:bookmarkStart w:id="124" w:name="_Toc40343075"/>
      <w:bookmarkEnd w:id="124"/>
      <w:bookmarkStart w:id="125" w:name="_Toc10085"/>
      <w:r>
        <w:rPr>
          <w:rFonts w:hint="eastAsia" w:ascii="仿宋" w:hAnsi="仿宋" w:eastAsia="黑体"/>
          <w:b/>
          <w:bCs/>
          <w:sz w:val="30"/>
          <w:szCs w:val="32"/>
        </w:rPr>
        <w:t>4、兼职教师</w:t>
      </w:r>
      <w:bookmarkEnd w:id="125"/>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（1）基本条件</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具有中级以上管理职务或高级工以上的技术等级，大学专科及以上学历。在成都市物流行业领域里有一定的知名度（物流行业管理能手或技术精英等），55岁以下的兼职教师需考取普通话等级证。</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（2）行业职业能力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行业实践能力强，具备一定的教学管理能力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（3）业务指导能力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能够进行本专业技术咨询服务，参与技能大赛的指导和培养教师的技能能力。</w:t>
      </w:r>
    </w:p>
    <w:p>
      <w:pPr>
        <w:keepNext/>
        <w:keepLines/>
        <w:widowControl/>
        <w:spacing w:before="190" w:beforeLines="50" w:after="190" w:afterLines="50" w:line="500" w:lineRule="exact"/>
        <w:jc w:val="left"/>
        <w:outlineLvl w:val="1"/>
        <w:rPr>
          <w:rFonts w:ascii="仿宋" w:hAnsi="仿宋" w:eastAsia="黑体" w:cs="Times New Roman"/>
          <w:b/>
          <w:bCs/>
          <w:sz w:val="30"/>
          <w:szCs w:val="32"/>
        </w:rPr>
      </w:pPr>
      <w:bookmarkStart w:id="126" w:name="_Toc31007"/>
      <w:bookmarkEnd w:id="126"/>
      <w:bookmarkStart w:id="127" w:name="_Toc40345216"/>
      <w:bookmarkEnd w:id="127"/>
      <w:bookmarkStart w:id="128" w:name="_Toc86244993"/>
      <w:bookmarkEnd w:id="128"/>
      <w:bookmarkStart w:id="129" w:name="_Toc40343076"/>
      <w:bookmarkStart w:id="130" w:name="_Toc89266115"/>
      <w:r>
        <w:rPr>
          <w:rFonts w:hint="eastAsia" w:ascii="仿宋" w:hAnsi="仿宋" w:eastAsia="黑体" w:cstheme="majorBidi"/>
          <w:b/>
          <w:bCs/>
          <w:sz w:val="30"/>
          <w:szCs w:val="32"/>
        </w:rPr>
        <w:t>（二）教学设施</w:t>
      </w:r>
      <w:bookmarkEnd w:id="129"/>
      <w:bookmarkEnd w:id="130"/>
    </w:p>
    <w:p>
      <w:pPr>
        <w:keepNext/>
        <w:keepLines/>
        <w:widowControl/>
        <w:spacing w:before="190" w:beforeLines="50" w:after="190" w:afterLines="50" w:line="500" w:lineRule="exact"/>
        <w:jc w:val="left"/>
        <w:outlineLvl w:val="2"/>
        <w:rPr>
          <w:rFonts w:ascii="仿宋" w:hAnsi="仿宋" w:eastAsia="黑体"/>
          <w:b/>
          <w:bCs/>
          <w:sz w:val="30"/>
          <w:szCs w:val="32"/>
        </w:rPr>
      </w:pPr>
      <w:bookmarkStart w:id="131" w:name="_Toc40345217"/>
      <w:bookmarkEnd w:id="131"/>
      <w:bookmarkStart w:id="132" w:name="_Toc21567"/>
      <w:bookmarkEnd w:id="132"/>
      <w:bookmarkStart w:id="133" w:name="_Toc441587112"/>
      <w:bookmarkEnd w:id="133"/>
      <w:bookmarkStart w:id="134" w:name="_Toc40343077"/>
      <w:r>
        <w:rPr>
          <w:rFonts w:hint="eastAsia" w:ascii="仿宋" w:hAnsi="仿宋" w:eastAsia="黑体"/>
          <w:b/>
          <w:bCs/>
          <w:sz w:val="30"/>
          <w:szCs w:val="32"/>
        </w:rPr>
        <w:t>1、校内实训基地</w:t>
      </w:r>
      <w:bookmarkEnd w:id="134"/>
    </w:p>
    <w:p>
      <w:pPr>
        <w:pStyle w:val="47"/>
      </w:pPr>
      <w:bookmarkStart w:id="135" w:name="_Toc40343078"/>
      <w:bookmarkEnd w:id="135"/>
      <w:bookmarkStart w:id="136" w:name="_Toc549"/>
      <w:bookmarkEnd w:id="136"/>
      <w:bookmarkStart w:id="137" w:name="_Toc441587113"/>
      <w:bookmarkEnd w:id="137"/>
      <w:bookmarkStart w:id="138" w:name="_Toc40345218"/>
      <w:r>
        <w:rPr>
          <w:rFonts w:hint="eastAsia"/>
        </w:rPr>
        <w:t>（1）适用范围</w:t>
      </w:r>
    </w:p>
    <w:p>
      <w:pPr>
        <w:pStyle w:val="47"/>
        <w:rPr>
          <w:rFonts w:cs="宋体"/>
          <w:kern w:val="0"/>
        </w:rPr>
      </w:pPr>
      <w:r>
        <w:rPr>
          <w:rFonts w:hint="eastAsia" w:cs="宋体"/>
          <w:kern w:val="0"/>
        </w:rPr>
        <w:t>适用于中等职业教育会计</w:t>
      </w:r>
      <w:r>
        <w:rPr>
          <w:rFonts w:hint="eastAsia" w:cs="宋体"/>
          <w:kern w:val="0"/>
          <w:lang w:val="en-US" w:eastAsia="zh-CN"/>
        </w:rPr>
        <w:t>事务</w:t>
      </w:r>
      <w:r>
        <w:rPr>
          <w:rFonts w:hint="eastAsia" w:cs="宋体"/>
          <w:kern w:val="0"/>
        </w:rPr>
        <w:t>专业实训基地建设使用。</w:t>
      </w:r>
    </w:p>
    <w:p>
      <w:pPr>
        <w:pStyle w:val="47"/>
      </w:pPr>
      <w:r>
        <w:rPr>
          <w:rFonts w:hint="eastAsia"/>
        </w:rPr>
        <w:t>（2）设备配置依据</w:t>
      </w:r>
    </w:p>
    <w:p>
      <w:pPr>
        <w:pStyle w:val="47"/>
      </w:pPr>
      <w:r>
        <w:rPr>
          <w:rFonts w:hint="eastAsia"/>
        </w:rPr>
        <w:t>课程实训环节是会计专业教学计划的重要实践性教学环节之一,是培养学生实际工作技能技巧的一个重要手段。本实训环节实践内容的设置是在财务会计课程理论教学和分岗位实训的基础上,在学生毕业前所进行的财务会计综合技能的强化训练,通过训练提高会计专业学生分析问题、解决问题和实际动手操作的能力,增强实践技能,以便毕业后尽快进入岗位角色,成为合格的高端技能型管理人才。</w:t>
      </w:r>
    </w:p>
    <w:p>
      <w:pPr>
        <w:pStyle w:val="47"/>
      </w:pPr>
      <w:r>
        <w:rPr>
          <w:rFonts w:hint="eastAsia"/>
        </w:rPr>
        <w:t>（3）实训基地环境要求</w:t>
      </w:r>
    </w:p>
    <w:p>
      <w:pPr>
        <w:pStyle w:val="47"/>
        <w:rPr>
          <w:rFonts w:ascii="仿宋"/>
        </w:rPr>
      </w:pPr>
      <w:r>
        <w:rPr>
          <w:rFonts w:hint="eastAsia" w:ascii="仿宋"/>
        </w:rPr>
        <w:t>根据会计服务与</w:t>
      </w:r>
      <w:r>
        <w:rPr>
          <w:rFonts w:ascii="仿宋"/>
        </w:rPr>
        <w:t>管理</w:t>
      </w:r>
      <w:r>
        <w:rPr>
          <w:rFonts w:hint="eastAsia" w:ascii="仿宋"/>
        </w:rPr>
        <w:t>专业的职业面向和毕业生所从事工作岗位的技能性</w:t>
      </w:r>
      <w:r>
        <w:rPr>
          <w:rFonts w:ascii="仿宋"/>
        </w:rPr>
        <w:t>质</w:t>
      </w:r>
      <w:r>
        <w:rPr>
          <w:rFonts w:hint="eastAsia" w:ascii="仿宋"/>
        </w:rPr>
        <w:t>，本专业的实践教学条件必须充分体现真实性、职业性，确保学生能够在学习的过程中能完全感受到真实环境的专业技能训练，进而提高职业素养。因此，实训室应根据师生的安全要求、教学内容，确定使用面积，并符合国家相关规定。实训室采光、照明、通风、电气安装、防火及安全卫生等要求参照实训室建设标准。</w:t>
      </w:r>
    </w:p>
    <w:p>
      <w:pPr>
        <w:pStyle w:val="47"/>
      </w:pPr>
      <w:r>
        <w:rPr>
          <w:rFonts w:hint="eastAsia"/>
        </w:rPr>
        <w:t>（4）实训基地</w:t>
      </w:r>
    </w:p>
    <w:p>
      <w:pPr>
        <w:pStyle w:val="47"/>
        <w:jc w:val="center"/>
      </w:pPr>
      <w:r>
        <w:rPr>
          <w:rFonts w:hint="eastAsia"/>
        </w:rPr>
        <w:t>表1 实训</w:t>
      </w:r>
      <w:r>
        <w:t>基地</w:t>
      </w:r>
      <w:r>
        <w:rPr>
          <w:rFonts w:hint="eastAsia"/>
        </w:rPr>
        <w:t>配置</w:t>
      </w:r>
      <w:r>
        <w:t>要求表</w:t>
      </w:r>
    </w:p>
    <w:tbl>
      <w:tblPr>
        <w:tblStyle w:val="53"/>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426"/>
        <w:gridCol w:w="2249"/>
        <w:gridCol w:w="99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7" w:type="pct"/>
            <w:vAlign w:val="center"/>
          </w:tcPr>
          <w:p>
            <w:pPr>
              <w:widowControl/>
              <w:spacing w:line="300" w:lineRule="exact"/>
              <w:jc w:val="center"/>
              <w:rPr>
                <w:rFonts w:ascii="宋体" w:hAnsi="宋体" w:eastAsia="仿宋_GB2312" w:cs="Times New Roman"/>
                <w:b/>
                <w:kern w:val="0"/>
                <w:sz w:val="24"/>
                <w:szCs w:val="24"/>
              </w:rPr>
            </w:pPr>
            <w:r>
              <w:rPr>
                <w:rFonts w:hint="eastAsia" w:ascii="宋体" w:hAnsi="宋体" w:eastAsia="仿宋_GB2312" w:cs="Times New Roman"/>
                <w:b/>
                <w:kern w:val="0"/>
                <w:sz w:val="24"/>
                <w:szCs w:val="24"/>
              </w:rPr>
              <w:t>序号</w:t>
            </w:r>
          </w:p>
        </w:tc>
        <w:tc>
          <w:tcPr>
            <w:tcW w:w="1320" w:type="pct"/>
            <w:vAlign w:val="center"/>
          </w:tcPr>
          <w:p>
            <w:pPr>
              <w:widowControl/>
              <w:spacing w:line="300" w:lineRule="exact"/>
              <w:jc w:val="center"/>
              <w:rPr>
                <w:rFonts w:ascii="宋体" w:hAnsi="宋体" w:eastAsia="仿宋_GB2312" w:cs="Times New Roman"/>
                <w:b/>
                <w:kern w:val="0"/>
                <w:sz w:val="24"/>
                <w:szCs w:val="24"/>
              </w:rPr>
            </w:pPr>
            <w:r>
              <w:rPr>
                <w:rFonts w:hint="eastAsia" w:ascii="宋体" w:hAnsi="宋体" w:eastAsia="仿宋_GB2312" w:cs="Times New Roman"/>
                <w:b/>
                <w:kern w:val="0"/>
                <w:sz w:val="24"/>
                <w:szCs w:val="24"/>
              </w:rPr>
              <w:t>名称</w:t>
            </w:r>
          </w:p>
        </w:tc>
        <w:tc>
          <w:tcPr>
            <w:tcW w:w="1224" w:type="pct"/>
            <w:vAlign w:val="center"/>
          </w:tcPr>
          <w:p>
            <w:pPr>
              <w:widowControl/>
              <w:spacing w:line="300" w:lineRule="exact"/>
              <w:jc w:val="center"/>
              <w:rPr>
                <w:rFonts w:ascii="宋体" w:hAnsi="宋体" w:eastAsia="仿宋_GB2312" w:cs="Times New Roman"/>
                <w:b/>
                <w:kern w:val="0"/>
                <w:sz w:val="24"/>
                <w:szCs w:val="24"/>
              </w:rPr>
            </w:pPr>
            <w:r>
              <w:rPr>
                <w:rFonts w:hint="eastAsia" w:ascii="宋体" w:hAnsi="宋体" w:eastAsia="仿宋_GB2312" w:cs="Times New Roman"/>
                <w:b/>
                <w:kern w:val="0"/>
                <w:sz w:val="24"/>
                <w:szCs w:val="24"/>
              </w:rPr>
              <w:t>基本配置要求</w:t>
            </w:r>
          </w:p>
        </w:tc>
        <w:tc>
          <w:tcPr>
            <w:tcW w:w="540" w:type="pct"/>
            <w:vAlign w:val="center"/>
          </w:tcPr>
          <w:p>
            <w:pPr>
              <w:widowControl/>
              <w:spacing w:line="300" w:lineRule="exact"/>
              <w:jc w:val="center"/>
              <w:rPr>
                <w:rFonts w:ascii="宋体" w:hAnsi="宋体" w:eastAsia="仿宋_GB2312" w:cs="Times New Roman"/>
                <w:b/>
                <w:kern w:val="0"/>
                <w:sz w:val="24"/>
                <w:szCs w:val="24"/>
              </w:rPr>
            </w:pPr>
            <w:r>
              <w:rPr>
                <w:rFonts w:hint="eastAsia" w:ascii="宋体" w:hAnsi="宋体" w:eastAsia="仿宋_GB2312" w:cs="Times New Roman"/>
                <w:b/>
                <w:kern w:val="0"/>
                <w:sz w:val="24"/>
                <w:szCs w:val="24"/>
              </w:rPr>
              <w:t>场地大小m</w:t>
            </w:r>
            <w:r>
              <w:rPr>
                <w:rFonts w:ascii="宋体" w:hAnsi="宋体" w:eastAsia="仿宋_GB2312" w:cs="Times New Roman"/>
                <w:b/>
                <w:kern w:val="0"/>
                <w:sz w:val="24"/>
                <w:szCs w:val="24"/>
                <w:vertAlign w:val="superscript"/>
              </w:rPr>
              <w:t>2</w:t>
            </w:r>
          </w:p>
        </w:tc>
        <w:tc>
          <w:tcPr>
            <w:tcW w:w="1469" w:type="pct"/>
            <w:vAlign w:val="center"/>
          </w:tcPr>
          <w:p>
            <w:pPr>
              <w:widowControl/>
              <w:spacing w:line="300" w:lineRule="exact"/>
              <w:jc w:val="center"/>
              <w:rPr>
                <w:rFonts w:ascii="宋体" w:hAnsi="宋体" w:eastAsia="仿宋_GB2312" w:cs="Times New Roman"/>
                <w:b/>
                <w:kern w:val="0"/>
                <w:sz w:val="24"/>
                <w:szCs w:val="24"/>
              </w:rPr>
            </w:pPr>
            <w:r>
              <w:rPr>
                <w:rFonts w:hint="eastAsia" w:ascii="宋体" w:hAnsi="宋体" w:eastAsia="仿宋_GB2312" w:cs="Times New Roman"/>
                <w:b/>
                <w:kern w:val="0"/>
                <w:sz w:val="24"/>
                <w:szCs w:val="24"/>
              </w:rPr>
              <w:t>详细功能说明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1</w:t>
            </w:r>
          </w:p>
        </w:tc>
        <w:tc>
          <w:tcPr>
            <w:tcW w:w="132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出纳实务实训教学平台</w:t>
            </w:r>
          </w:p>
        </w:tc>
        <w:tc>
          <w:tcPr>
            <w:tcW w:w="1224"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配置学生桌椅，配备服务器等教学设备</w:t>
            </w:r>
          </w:p>
        </w:tc>
        <w:tc>
          <w:tcPr>
            <w:tcW w:w="54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6</w:t>
            </w:r>
            <w:r>
              <w:rPr>
                <w:rFonts w:ascii="宋体" w:hAnsi="宋体" w:eastAsia="仿宋_GB2312" w:cs="Times New Roman"/>
                <w:kern w:val="0"/>
                <w:sz w:val="24"/>
                <w:szCs w:val="24"/>
              </w:rPr>
              <w:t>0</w:t>
            </w:r>
          </w:p>
        </w:tc>
        <w:tc>
          <w:tcPr>
            <w:tcW w:w="1469"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与现金收付业务、出纳账簿及凭证交接</w:t>
            </w:r>
            <w:r>
              <w:rPr>
                <w:rFonts w:ascii="宋体" w:hAnsi="宋体" w:eastAsia="仿宋_GB2312" w:cs="Times New Roman"/>
                <w:kern w:val="0"/>
                <w:sz w:val="24"/>
                <w:szCs w:val="24"/>
              </w:rPr>
              <w:t xml:space="preserve"> 、银行存款余额调节表、综</w:t>
            </w:r>
            <w:r>
              <w:rPr>
                <w:rFonts w:hint="eastAsia" w:ascii="宋体" w:hAnsi="宋体" w:eastAsia="仿宋_GB2312" w:cs="Times New Roman"/>
                <w:kern w:val="0"/>
                <w:sz w:val="24"/>
                <w:szCs w:val="24"/>
              </w:rPr>
              <w:t>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2</w:t>
            </w:r>
          </w:p>
        </w:tc>
        <w:tc>
          <w:tcPr>
            <w:tcW w:w="132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基础会计实训教学平台</w:t>
            </w:r>
          </w:p>
        </w:tc>
        <w:tc>
          <w:tcPr>
            <w:tcW w:w="1224"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配置学生桌椅，配备服务器等教学设备</w:t>
            </w:r>
          </w:p>
        </w:tc>
        <w:tc>
          <w:tcPr>
            <w:tcW w:w="54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6</w:t>
            </w:r>
            <w:r>
              <w:rPr>
                <w:rFonts w:ascii="宋体" w:hAnsi="宋体" w:eastAsia="仿宋_GB2312" w:cs="Times New Roman"/>
                <w:kern w:val="0"/>
                <w:sz w:val="24"/>
                <w:szCs w:val="24"/>
              </w:rPr>
              <w:t>0</w:t>
            </w:r>
          </w:p>
        </w:tc>
        <w:tc>
          <w:tcPr>
            <w:tcW w:w="1469"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主要开展填制和审核原始凭证、编制和审核记账凭证、会计凭证的装订、账簿的设置和登记、对账、错账更正与结账、会计报表的编制、特殊项目专练、综合实训</w:t>
            </w:r>
            <w:r>
              <w:rPr>
                <w:rFonts w:ascii="宋体" w:hAnsi="宋体"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3</w:t>
            </w:r>
          </w:p>
        </w:tc>
        <w:tc>
          <w:tcPr>
            <w:tcW w:w="132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成本会计实训教学平台</w:t>
            </w:r>
          </w:p>
        </w:tc>
        <w:tc>
          <w:tcPr>
            <w:tcW w:w="1224"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配置学生桌椅，配备服务器等教学设备</w:t>
            </w:r>
          </w:p>
        </w:tc>
        <w:tc>
          <w:tcPr>
            <w:tcW w:w="54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6</w:t>
            </w:r>
            <w:r>
              <w:rPr>
                <w:rFonts w:ascii="宋体" w:hAnsi="宋体" w:eastAsia="仿宋_GB2312" w:cs="Times New Roman"/>
                <w:kern w:val="0"/>
                <w:sz w:val="24"/>
                <w:szCs w:val="24"/>
              </w:rPr>
              <w:t>0</w:t>
            </w:r>
          </w:p>
        </w:tc>
        <w:tc>
          <w:tcPr>
            <w:tcW w:w="1469"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主要开展要素费用的归集和分配实训、辅助生产费用和制造费用的</w:t>
            </w:r>
            <w:r>
              <w:rPr>
                <w:rFonts w:ascii="宋体" w:hAnsi="宋体" w:eastAsia="仿宋_GB2312" w:cs="Times New Roman"/>
                <w:kern w:val="0"/>
                <w:sz w:val="24"/>
                <w:szCs w:val="24"/>
              </w:rPr>
              <w:t>归集和分配实训、生产费用在完工产品和在产品之间的分配实训、</w:t>
            </w:r>
            <w:r>
              <w:rPr>
                <w:rFonts w:hint="eastAsia" w:ascii="宋体" w:hAnsi="宋体" w:eastAsia="仿宋_GB2312" w:cs="Times New Roman"/>
                <w:kern w:val="0"/>
                <w:sz w:val="24"/>
                <w:szCs w:val="24"/>
              </w:rPr>
              <w:t>产品成本计算的基本方法实训、产品成本计算的辅助方法实训、成本报表的编制与分析实训、成本会计综合实训</w:t>
            </w:r>
            <w:r>
              <w:rPr>
                <w:rFonts w:ascii="宋体" w:hAnsi="宋体"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widowControl/>
              <w:spacing w:line="300" w:lineRule="exact"/>
              <w:jc w:val="center"/>
              <w:rPr>
                <w:rFonts w:ascii="宋体" w:hAnsi="宋体" w:eastAsia="仿宋_GB2312" w:cs="Times New Roman"/>
                <w:kern w:val="0"/>
                <w:sz w:val="24"/>
                <w:szCs w:val="24"/>
              </w:rPr>
            </w:pPr>
            <w:r>
              <w:rPr>
                <w:rFonts w:ascii="宋体" w:hAnsi="宋体" w:eastAsia="仿宋_GB2312" w:cs="Times New Roman"/>
                <w:kern w:val="0"/>
                <w:sz w:val="24"/>
                <w:szCs w:val="24"/>
              </w:rPr>
              <w:t>4</w:t>
            </w:r>
          </w:p>
        </w:tc>
        <w:tc>
          <w:tcPr>
            <w:tcW w:w="132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税务会计实训教学平台</w:t>
            </w:r>
          </w:p>
        </w:tc>
        <w:tc>
          <w:tcPr>
            <w:tcW w:w="1224"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配置学生桌椅，配备服务器等教学设备</w:t>
            </w:r>
          </w:p>
        </w:tc>
        <w:tc>
          <w:tcPr>
            <w:tcW w:w="54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6</w:t>
            </w:r>
            <w:r>
              <w:rPr>
                <w:rFonts w:ascii="宋体" w:hAnsi="宋体" w:eastAsia="仿宋_GB2312" w:cs="Times New Roman"/>
                <w:kern w:val="0"/>
                <w:sz w:val="24"/>
                <w:szCs w:val="24"/>
              </w:rPr>
              <w:t>0</w:t>
            </w:r>
          </w:p>
        </w:tc>
        <w:tc>
          <w:tcPr>
            <w:tcW w:w="1469"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主要开展税务登记实训、增值税纳税处理实训、消费税纳税处理实训、营业税纳税处理实训、关税纳税处理实训、企业所得税纳税处理实训、个人所得税纳税处理实训、土地增值税纳税处理实训、印花税纳税处理实训、房产税和城镇土地使用税纳税处理实训、资源税纳税处理实训、其他税种纳税处理实训、税收筹划</w:t>
            </w:r>
            <w:r>
              <w:rPr>
                <w:rFonts w:ascii="宋体" w:hAnsi="宋体"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widowControl/>
              <w:spacing w:line="300" w:lineRule="exact"/>
              <w:jc w:val="center"/>
              <w:rPr>
                <w:rFonts w:ascii="宋体" w:hAnsi="宋体" w:eastAsia="仿宋_GB2312" w:cs="Times New Roman"/>
                <w:kern w:val="0"/>
                <w:sz w:val="24"/>
                <w:szCs w:val="24"/>
              </w:rPr>
            </w:pPr>
            <w:r>
              <w:rPr>
                <w:rFonts w:ascii="宋体" w:hAnsi="宋体" w:eastAsia="仿宋_GB2312" w:cs="Times New Roman"/>
                <w:kern w:val="0"/>
                <w:sz w:val="24"/>
                <w:szCs w:val="24"/>
              </w:rPr>
              <w:t>5</w:t>
            </w:r>
          </w:p>
        </w:tc>
        <w:tc>
          <w:tcPr>
            <w:tcW w:w="132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电子报税模拟教学平台</w:t>
            </w:r>
          </w:p>
        </w:tc>
        <w:tc>
          <w:tcPr>
            <w:tcW w:w="1224"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配置学生桌椅，配备服务器，仿真教学平台软件等教学设备</w:t>
            </w:r>
          </w:p>
        </w:tc>
        <w:tc>
          <w:tcPr>
            <w:tcW w:w="54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1</w:t>
            </w:r>
            <w:r>
              <w:rPr>
                <w:rFonts w:ascii="宋体" w:hAnsi="宋体" w:eastAsia="仿宋_GB2312" w:cs="Times New Roman"/>
                <w:kern w:val="0"/>
                <w:sz w:val="24"/>
                <w:szCs w:val="24"/>
              </w:rPr>
              <w:t>20</w:t>
            </w:r>
          </w:p>
        </w:tc>
        <w:tc>
          <w:tcPr>
            <w:tcW w:w="1469"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主要开展模拟多个企业包括集团企业、商贸企业等不同类型企业的网</w:t>
            </w:r>
            <w:r>
              <w:rPr>
                <w:rFonts w:ascii="宋体" w:hAnsi="宋体" w:eastAsia="仿宋_GB2312" w:cs="Times New Roman"/>
                <w:kern w:val="0"/>
                <w:sz w:val="24"/>
                <w:szCs w:val="24"/>
              </w:rPr>
              <w:t>_上报税流程，涉及地方所得税的税务登记及变更、营业税、资源</w:t>
            </w:r>
            <w:r>
              <w:rPr>
                <w:rFonts w:hint="eastAsia" w:ascii="宋体" w:hAnsi="宋体" w:eastAsia="仿宋_GB2312" w:cs="Times New Roman"/>
                <w:kern w:val="0"/>
                <w:sz w:val="24"/>
                <w:szCs w:val="24"/>
              </w:rPr>
              <w:t>税、</w:t>
            </w:r>
            <w:r>
              <w:rPr>
                <w:rFonts w:ascii="宋体" w:hAnsi="宋体" w:eastAsia="仿宋_GB2312" w:cs="Times New Roman"/>
                <w:kern w:val="0"/>
                <w:sz w:val="24"/>
                <w:szCs w:val="24"/>
              </w:rPr>
              <w:t xml:space="preserve"> 车船税、印花税、土地增值税、房产税、城镇土地使用税、个</w:t>
            </w:r>
            <w:r>
              <w:rPr>
                <w:rFonts w:hint="eastAsia" w:ascii="宋体" w:hAnsi="宋体" w:eastAsia="仿宋_GB2312" w:cs="Times New Roman"/>
                <w:kern w:val="0"/>
                <w:sz w:val="24"/>
                <w:szCs w:val="24"/>
              </w:rPr>
              <w:t>人所得税等具体税种的网上申报、操作、汇总功能，以及国税业务中的增值税、企业所得税、消费税的申报、操作等业务流程。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6</w:t>
            </w:r>
          </w:p>
        </w:tc>
        <w:tc>
          <w:tcPr>
            <w:tcW w:w="1320" w:type="pct"/>
            <w:vAlign w:val="center"/>
          </w:tcPr>
          <w:p>
            <w:pPr>
              <w:widowControl/>
              <w:spacing w:line="30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中级会计</w:t>
            </w:r>
            <w:r>
              <w:rPr>
                <w:rFonts w:ascii="仿宋_GB2312" w:hAnsi="宋体" w:eastAsia="仿宋_GB2312" w:cs="Times New Roman"/>
                <w:kern w:val="0"/>
                <w:sz w:val="24"/>
                <w:szCs w:val="24"/>
              </w:rPr>
              <w:t>(单项)实训教学</w:t>
            </w:r>
            <w:r>
              <w:rPr>
                <w:rFonts w:hint="eastAsia" w:ascii="仿宋_GB2312" w:hAnsi="宋体" w:eastAsia="仿宋_GB2312" w:cs="Times New Roman"/>
                <w:kern w:val="0"/>
                <w:sz w:val="24"/>
                <w:szCs w:val="24"/>
              </w:rPr>
              <w:t>平台</w:t>
            </w:r>
          </w:p>
        </w:tc>
        <w:tc>
          <w:tcPr>
            <w:tcW w:w="1224"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配置学生桌椅，配备服务器等教学设备</w:t>
            </w:r>
          </w:p>
        </w:tc>
        <w:tc>
          <w:tcPr>
            <w:tcW w:w="54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6</w:t>
            </w:r>
            <w:r>
              <w:rPr>
                <w:rFonts w:ascii="宋体" w:hAnsi="宋体" w:eastAsia="仿宋_GB2312" w:cs="Times New Roman"/>
                <w:kern w:val="0"/>
                <w:sz w:val="24"/>
                <w:szCs w:val="24"/>
              </w:rPr>
              <w:t>0</w:t>
            </w:r>
          </w:p>
        </w:tc>
        <w:tc>
          <w:tcPr>
            <w:tcW w:w="1469"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主要开展货币资金实训、金融资产实训、存货实训、长期股权投资实训、固定资产实训、无形资产实训、投资性房地产实训、资产减值实训、债务重组实训、非货币性资产交换实训、或有负债实训、借款费用实训、资产负债表日后事项实训、负债实训、收入、费用和利润实训、所有者权益实训、财务会计报告实训</w:t>
            </w:r>
            <w:r>
              <w:rPr>
                <w:rFonts w:ascii="宋体" w:hAnsi="宋体"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7</w:t>
            </w:r>
          </w:p>
        </w:tc>
        <w:tc>
          <w:tcPr>
            <w:tcW w:w="1320" w:type="pct"/>
            <w:vAlign w:val="center"/>
          </w:tcPr>
          <w:p>
            <w:pPr>
              <w:widowControl/>
              <w:spacing w:line="300" w:lineRule="exact"/>
              <w:jc w:val="center"/>
              <w:rPr>
                <w:rFonts w:ascii="宋体" w:hAnsi="宋体" w:eastAsia="仿宋_GB2312" w:cs="Times New Roman"/>
                <w:kern w:val="0"/>
                <w:sz w:val="24"/>
                <w:szCs w:val="24"/>
              </w:rPr>
            </w:pPr>
            <w:r>
              <w:rPr>
                <w:rFonts w:hint="eastAsia" w:ascii="仿宋_GB2312" w:hAnsi="宋体" w:eastAsia="仿宋_GB2312" w:cs="Times New Roman"/>
                <w:kern w:val="0"/>
                <w:sz w:val="24"/>
                <w:szCs w:val="24"/>
              </w:rPr>
              <w:t>中级会计</w:t>
            </w:r>
            <w:r>
              <w:rPr>
                <w:rFonts w:ascii="仿宋_GB2312" w:hAnsi="宋体" w:eastAsia="仿宋_GB2312" w:cs="Times New Roman"/>
                <w:kern w:val="0"/>
                <w:sz w:val="24"/>
                <w:szCs w:val="24"/>
              </w:rPr>
              <w:t>(</w:t>
            </w:r>
            <w:r>
              <w:rPr>
                <w:rFonts w:hint="eastAsia" w:ascii="仿宋_GB2312" w:hAnsi="宋体" w:eastAsia="仿宋_GB2312" w:cs="Times New Roman"/>
                <w:kern w:val="0"/>
                <w:sz w:val="24"/>
                <w:szCs w:val="24"/>
              </w:rPr>
              <w:t>综合</w:t>
            </w:r>
            <w:r>
              <w:rPr>
                <w:rFonts w:ascii="仿宋_GB2312" w:hAnsi="宋体" w:eastAsia="仿宋_GB2312" w:cs="Times New Roman"/>
                <w:kern w:val="0"/>
                <w:sz w:val="24"/>
                <w:szCs w:val="24"/>
              </w:rPr>
              <w:t>)实训教学</w:t>
            </w:r>
            <w:r>
              <w:rPr>
                <w:rFonts w:hint="eastAsia" w:ascii="仿宋_GB2312" w:hAnsi="宋体" w:eastAsia="仿宋_GB2312" w:cs="Times New Roman"/>
                <w:kern w:val="0"/>
                <w:sz w:val="24"/>
                <w:szCs w:val="24"/>
              </w:rPr>
              <w:t>平台</w:t>
            </w:r>
          </w:p>
        </w:tc>
        <w:tc>
          <w:tcPr>
            <w:tcW w:w="1224"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配置学生桌椅，配备服务器等教学设备</w:t>
            </w:r>
          </w:p>
        </w:tc>
        <w:tc>
          <w:tcPr>
            <w:tcW w:w="54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6</w:t>
            </w:r>
            <w:r>
              <w:rPr>
                <w:rFonts w:ascii="宋体" w:hAnsi="宋体" w:eastAsia="仿宋_GB2312" w:cs="Times New Roman"/>
                <w:kern w:val="0"/>
                <w:sz w:val="24"/>
                <w:szCs w:val="24"/>
              </w:rPr>
              <w:t>0</w:t>
            </w:r>
          </w:p>
        </w:tc>
        <w:tc>
          <w:tcPr>
            <w:tcW w:w="1469"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主要根据</w:t>
            </w:r>
            <w:r>
              <w:rPr>
                <w:rFonts w:ascii="宋体" w:hAnsi="宋体" w:eastAsia="仿宋_GB2312" w:cs="Times New Roman"/>
                <w:kern w:val="0"/>
                <w:sz w:val="24"/>
                <w:szCs w:val="24"/>
              </w:rPr>
              <w:t>- - 家企业一个月的完整业务，开展如下内容实训:建账、</w:t>
            </w:r>
            <w:r>
              <w:rPr>
                <w:rFonts w:hint="eastAsia" w:ascii="宋体" w:hAnsi="宋体" w:eastAsia="仿宋_GB2312" w:cs="Times New Roman"/>
                <w:kern w:val="0"/>
                <w:sz w:val="24"/>
                <w:szCs w:val="24"/>
              </w:rPr>
              <w:t>日常经济业务处理、期末账项调整及相关事项处理、登记明细账簿及月结、登记科目汇总表、登记总账、编制会计报表、编制纳税申报表</w:t>
            </w:r>
            <w:r>
              <w:rPr>
                <w:rFonts w:ascii="宋体" w:hAnsi="宋体" w:eastAsia="仿宋_GB2312" w:cs="Times New Roman"/>
                <w:kern w:val="0"/>
                <w:sz w:val="24"/>
                <w:szCs w:val="24"/>
              </w:rPr>
              <w:t>.</w:t>
            </w:r>
            <w:r>
              <w:rPr>
                <w:rFonts w:hint="eastAsia" w:ascii="宋体" w:hAnsi="宋体" w:eastAsia="仿宋_GB2312" w:cs="Times New Roman"/>
                <w:kern w:val="0"/>
                <w:sz w:val="24"/>
                <w:szCs w:val="24"/>
              </w:rPr>
              <w:t>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8</w:t>
            </w:r>
          </w:p>
        </w:tc>
        <w:tc>
          <w:tcPr>
            <w:tcW w:w="132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会计综合实习平台</w:t>
            </w:r>
          </w:p>
        </w:tc>
        <w:tc>
          <w:tcPr>
            <w:tcW w:w="1224"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配置学生桌椅，配备服务器等教学设备</w:t>
            </w:r>
          </w:p>
        </w:tc>
        <w:tc>
          <w:tcPr>
            <w:tcW w:w="540" w:type="pct"/>
            <w:vAlign w:val="center"/>
          </w:tcPr>
          <w:p>
            <w:pPr>
              <w:widowControl/>
              <w:spacing w:line="300" w:lineRule="exact"/>
              <w:jc w:val="center"/>
              <w:rPr>
                <w:rFonts w:ascii="宋体" w:hAnsi="宋体" w:eastAsia="仿宋_GB2312" w:cs="Times New Roman"/>
                <w:kern w:val="0"/>
                <w:sz w:val="24"/>
                <w:szCs w:val="24"/>
              </w:rPr>
            </w:pPr>
            <w:r>
              <w:rPr>
                <w:rFonts w:hint="eastAsia" w:ascii="宋体" w:hAnsi="宋体" w:eastAsia="仿宋_GB2312" w:cs="Times New Roman"/>
                <w:kern w:val="0"/>
                <w:sz w:val="24"/>
                <w:szCs w:val="24"/>
              </w:rPr>
              <w:t>6</w:t>
            </w:r>
            <w:r>
              <w:rPr>
                <w:rFonts w:ascii="宋体" w:hAnsi="宋体" w:eastAsia="仿宋_GB2312" w:cs="Times New Roman"/>
                <w:kern w:val="0"/>
                <w:sz w:val="24"/>
                <w:szCs w:val="24"/>
              </w:rPr>
              <w:t>0</w:t>
            </w:r>
          </w:p>
        </w:tc>
        <w:tc>
          <w:tcPr>
            <w:tcW w:w="1469" w:type="pct"/>
            <w:vAlign w:val="center"/>
          </w:tcPr>
          <w:p>
            <w:pPr>
              <w:widowControl/>
              <w:spacing w:line="300" w:lineRule="exact"/>
              <w:jc w:val="left"/>
              <w:rPr>
                <w:rFonts w:ascii="宋体" w:hAnsi="宋体" w:eastAsia="仿宋_GB2312" w:cs="Times New Roman"/>
                <w:kern w:val="0"/>
                <w:sz w:val="24"/>
                <w:szCs w:val="24"/>
              </w:rPr>
            </w:pPr>
            <w:r>
              <w:rPr>
                <w:rFonts w:hint="eastAsia" w:ascii="宋体" w:hAnsi="宋体" w:eastAsia="仿宋_GB2312" w:cs="Times New Roman"/>
                <w:kern w:val="0"/>
                <w:sz w:val="24"/>
                <w:szCs w:val="24"/>
              </w:rPr>
              <w:t>可创建多个单位、多套账</w:t>
            </w:r>
            <w:r>
              <w:rPr>
                <w:rFonts w:ascii="宋体" w:hAnsi="宋体" w:eastAsia="仿宋_GB2312" w:cs="Times New Roman"/>
                <w:kern w:val="0"/>
                <w:sz w:val="24"/>
                <w:szCs w:val="24"/>
              </w:rPr>
              <w:t>;学生从建账开始完全模拟手工;系统自动比对老师做的账与学生做的账，并指出纰漏与错误。系统自动统</w:t>
            </w:r>
            <w:r>
              <w:rPr>
                <w:rFonts w:hint="eastAsia" w:ascii="宋体" w:hAnsi="宋体" w:eastAsia="仿宋_GB2312" w:cs="Times New Roman"/>
                <w:kern w:val="0"/>
                <w:sz w:val="24"/>
                <w:szCs w:val="24"/>
              </w:rPr>
              <w:t>计、分析学生模拟实习情况</w:t>
            </w:r>
            <w:r>
              <w:rPr>
                <w:rFonts w:ascii="宋体" w:hAnsi="宋体" w:eastAsia="仿宋_GB2312" w:cs="Times New Roman"/>
                <w:kern w:val="0"/>
                <w:sz w:val="24"/>
                <w:szCs w:val="24"/>
              </w:rPr>
              <w:t>;实习数据可用EXCEL 导出，可导出完</w:t>
            </w:r>
            <w:r>
              <w:rPr>
                <w:rFonts w:hint="eastAsia" w:ascii="宋体" w:hAnsi="宋体" w:eastAsia="仿宋_GB2312" w:cs="Times New Roman"/>
                <w:kern w:val="0"/>
                <w:sz w:val="24"/>
                <w:szCs w:val="24"/>
              </w:rPr>
              <w:t>整的学生实习报告。</w:t>
            </w:r>
          </w:p>
        </w:tc>
      </w:tr>
    </w:tbl>
    <w:p>
      <w:pPr>
        <w:keepNext/>
        <w:keepLines/>
        <w:widowControl/>
        <w:spacing w:before="190" w:beforeLines="50" w:after="190" w:afterLines="50" w:line="500" w:lineRule="exact"/>
        <w:jc w:val="left"/>
        <w:outlineLvl w:val="2"/>
        <w:rPr>
          <w:rFonts w:ascii="仿宋" w:hAnsi="黑体" w:eastAsia="黑体" w:cs="Times New Roman"/>
          <w:b/>
          <w:bCs/>
          <w:sz w:val="30"/>
          <w:szCs w:val="32"/>
        </w:rPr>
      </w:pPr>
      <w:r>
        <w:rPr>
          <w:rFonts w:hint="eastAsia" w:ascii="仿宋" w:hAnsi="仿宋" w:eastAsia="黑体"/>
          <w:b/>
          <w:bCs/>
          <w:sz w:val="30"/>
          <w:szCs w:val="32"/>
        </w:rPr>
        <w:t>2、校外实习基地</w:t>
      </w:r>
      <w:bookmarkEnd w:id="138"/>
    </w:p>
    <w:p>
      <w:pPr>
        <w:pStyle w:val="47"/>
      </w:pPr>
      <w:bookmarkStart w:id="139" w:name="_Toc40343079"/>
      <w:bookmarkEnd w:id="139"/>
      <w:bookmarkStart w:id="140" w:name="_Toc40345219"/>
      <w:bookmarkEnd w:id="140"/>
      <w:bookmarkStart w:id="141" w:name="_Toc86244994"/>
      <w:bookmarkEnd w:id="141"/>
      <w:bookmarkStart w:id="142" w:name="_Toc27154"/>
      <w:bookmarkStart w:id="143" w:name="_Toc89266116"/>
      <w:r>
        <w:rPr>
          <w:rFonts w:hint="eastAsia"/>
        </w:rPr>
        <w:t>密切与行业和企业的联系，建立稳定的校外实训基地，加强推进校外顶岗实习的力度。在与企业签订协议的基础上，进一步加强内涵建设，邀请其技术人员全程参与人才培养过程，共同开展项目课程开发和实践教学。</w:t>
      </w:r>
    </w:p>
    <w:p>
      <w:pPr>
        <w:pStyle w:val="47"/>
      </w:pPr>
      <w:r>
        <w:rPr>
          <w:rFonts w:hint="eastAsia"/>
        </w:rPr>
        <w:t xml:space="preserve">按照产教融合相关政策文件，引企入校，共建校内生产性实训基地，产教融合度高。 </w:t>
      </w:r>
    </w:p>
    <w:p>
      <w:pPr>
        <w:pStyle w:val="47"/>
      </w:pPr>
      <w:r>
        <w:rPr>
          <w:rFonts w:hint="eastAsia"/>
        </w:rPr>
        <w:t>（1）适用范围</w:t>
      </w:r>
    </w:p>
    <w:p>
      <w:pPr>
        <w:pStyle w:val="47"/>
      </w:pPr>
      <w:r>
        <w:rPr>
          <w:rFonts w:hint="eastAsia"/>
        </w:rPr>
        <w:t>本标准适用于会计</w:t>
      </w:r>
      <w:r>
        <w:rPr>
          <w:rFonts w:hint="eastAsia"/>
          <w:lang w:val="en-US" w:eastAsia="zh-CN"/>
        </w:rPr>
        <w:t>事务</w:t>
      </w:r>
      <w:r>
        <w:rPr>
          <w:rFonts w:hint="eastAsia"/>
        </w:rPr>
        <w:t>专业（中职）校外实训基地遴选和建设。</w:t>
      </w:r>
    </w:p>
    <w:p>
      <w:pPr>
        <w:pStyle w:val="47"/>
      </w:pPr>
      <w:r>
        <w:rPr>
          <w:rFonts w:hint="eastAsia"/>
        </w:rPr>
        <w:t>（2）校外实训基地的遴选条件</w:t>
      </w:r>
    </w:p>
    <w:p>
      <w:pPr>
        <w:pStyle w:val="47"/>
      </w:pPr>
      <w:r>
        <w:t>能满足我校会计专业完成实习实训教学任务要求，具备先进的生产手段、技术装备和科学的经营管理方式，拥有一支素质较高的技术人员和职工队伍；能够为教学计划规定的实习实训提供场地和指导人员，接受我校会计专业一定数量的教师和学生开展实习。</w:t>
      </w:r>
    </w:p>
    <w:p>
      <w:pPr>
        <w:pStyle w:val="47"/>
      </w:pPr>
      <w:r>
        <w:t>能够满足学生食宿、学习、劳动保护和卫生等方面的基本需要。</w:t>
      </w:r>
    </w:p>
    <w:p>
      <w:pPr>
        <w:pStyle w:val="47"/>
      </w:pPr>
      <w:r>
        <w:t>校企合作关系密切，在“产、学、研”结合等方面取得积极进展。</w:t>
      </w:r>
    </w:p>
    <w:p>
      <w:pPr>
        <w:pStyle w:val="47"/>
      </w:pPr>
      <w:r>
        <w:rPr>
          <w:rFonts w:hint="eastAsia"/>
        </w:rPr>
        <w:t>（3</w:t>
      </w:r>
      <w:r>
        <w:t>）</w:t>
      </w:r>
      <w:r>
        <w:rPr>
          <w:rFonts w:hint="eastAsia"/>
        </w:rPr>
        <w:t>实习方式</w:t>
      </w:r>
    </w:p>
    <w:p>
      <w:pPr>
        <w:pStyle w:val="47"/>
      </w:pPr>
      <w:r>
        <w:t>加强实践性教学，实践性教学学时原则</w:t>
      </w:r>
      <w:r>
        <w:rPr>
          <w:rFonts w:hint="eastAsia"/>
        </w:rPr>
        <w:t xml:space="preserve">上占总学时数 </w:t>
      </w:r>
      <w:r>
        <w:t>50%</w:t>
      </w:r>
      <w:r>
        <w:rPr>
          <w:rFonts w:hint="eastAsia"/>
        </w:rPr>
        <w:t xml:space="preserve">以上。要积极推行认知实习、跟岗实习、顶岗实习等多种实习方式，强化以育人为目标的实习实训考核评价。学生顶岗实习时间一般为 </w:t>
      </w:r>
      <w:r>
        <w:t xml:space="preserve">6 </w:t>
      </w:r>
      <w:r>
        <w:rPr>
          <w:rFonts w:hint="eastAsia"/>
        </w:rPr>
        <w:t xml:space="preserve">个月，可根据专业实际，集中或分阶段安排。统筹推进文化育人、实践育人、活动育人，广泛开展各类社会实践活动。 </w:t>
      </w:r>
    </w:p>
    <w:p>
      <w:pPr>
        <w:keepNext/>
        <w:keepLines/>
        <w:widowControl/>
        <w:spacing w:before="190" w:beforeLines="50" w:after="190" w:afterLines="50" w:line="500" w:lineRule="exact"/>
        <w:jc w:val="left"/>
        <w:outlineLvl w:val="1"/>
        <w:rPr>
          <w:rFonts w:ascii="仿宋" w:hAnsi="仿宋" w:eastAsia="黑体" w:cstheme="majorBidi"/>
          <w:b/>
          <w:bCs/>
          <w:sz w:val="30"/>
          <w:szCs w:val="32"/>
        </w:rPr>
      </w:pPr>
      <w:r>
        <w:rPr>
          <w:rFonts w:hint="eastAsia" w:ascii="仿宋" w:hAnsi="仿宋" w:eastAsia="黑体" w:cstheme="majorBidi"/>
          <w:b/>
          <w:bCs/>
          <w:sz w:val="30"/>
          <w:szCs w:val="32"/>
        </w:rPr>
        <w:t>（三）教学资源</w:t>
      </w:r>
      <w:bookmarkEnd w:id="142"/>
      <w:bookmarkEnd w:id="143"/>
    </w:p>
    <w:p>
      <w:pPr>
        <w:keepNext/>
        <w:keepLines/>
        <w:widowControl/>
        <w:spacing w:before="190" w:beforeLines="50" w:after="190" w:afterLines="50" w:line="500" w:lineRule="exact"/>
        <w:jc w:val="left"/>
        <w:outlineLvl w:val="2"/>
        <w:rPr>
          <w:rFonts w:ascii="仿宋" w:hAnsi="仿宋" w:eastAsia="黑体"/>
          <w:b/>
          <w:bCs/>
          <w:sz w:val="30"/>
          <w:szCs w:val="32"/>
        </w:rPr>
      </w:pPr>
      <w:bookmarkStart w:id="144" w:name="_Toc40345220"/>
      <w:bookmarkEnd w:id="144"/>
      <w:r>
        <w:rPr>
          <w:rFonts w:hint="eastAsia" w:ascii="仿宋" w:hAnsi="仿宋" w:eastAsia="黑体"/>
          <w:b/>
          <w:bCs/>
          <w:sz w:val="30"/>
          <w:szCs w:val="32"/>
        </w:rPr>
        <w:t>1、教材选编</w:t>
      </w:r>
    </w:p>
    <w:p>
      <w:pPr>
        <w:pStyle w:val="47"/>
        <w:rPr>
          <w:rFonts w:ascii="仿宋" w:hAnsi="仿宋" w:eastAsia="仿宋" w:cs="仿宋"/>
        </w:rPr>
      </w:pPr>
      <w:bookmarkStart w:id="145" w:name="_Toc40345221"/>
      <w:bookmarkEnd w:id="145"/>
      <w:r>
        <w:rPr>
          <w:rFonts w:hint="eastAsia" w:ascii="仿宋" w:hAnsi="仿宋" w:eastAsia="仿宋" w:cs="仿宋"/>
        </w:rPr>
        <w:t>教材建设要紧紧围绕培养高技能应用型人才的需要进行编写。基础课程教材要体现以应用为目的，以必需、够用为度，以讲清概念、强化应用为教学重点。专业课程教材要加强针对性和实用性。同时，教材建设不仅要注重内容和体系的改革，还要注重方法和手段的改革，以跟上科技时代发展和实际生产工作的需求。</w:t>
      </w:r>
    </w:p>
    <w:p>
      <w:pPr>
        <w:pStyle w:val="47"/>
      </w:pPr>
      <w:r>
        <w:rPr>
          <w:rFonts w:hint="eastAsia"/>
        </w:rPr>
        <w:t>要求选用国家级、省部级以上规划教材及省级教指委推荐的教材不低于80%；选用近五年出版的中职中专规划教材不低于60%。尽可能选用能够反应先进技术发展水平、特色鲜明，并能满足本专业培养目标要求的优秀教材。基础理论课教材的选用既要教材内容的先进性，又要保持教材的相对稳定性。特色课程或专业课程可依据教学大纲组织自编符合当地区域发展的校本教材。教材的应用必须经过专业组讨论并通过学校教材建设专家组织认证。教材的类型包括文字教材、实物教材和声像视听教材等，鼓励使用多媒体资源教材。</w:t>
      </w:r>
    </w:p>
    <w:p>
      <w:pPr>
        <w:keepNext/>
        <w:keepLines/>
        <w:widowControl/>
        <w:spacing w:before="190" w:beforeLines="50" w:after="190" w:afterLines="50" w:line="500" w:lineRule="exact"/>
        <w:jc w:val="left"/>
        <w:outlineLvl w:val="2"/>
        <w:rPr>
          <w:rFonts w:ascii="仿宋" w:hAnsi="仿宋" w:eastAsia="黑体"/>
          <w:b/>
          <w:bCs/>
          <w:sz w:val="30"/>
          <w:szCs w:val="32"/>
        </w:rPr>
      </w:pPr>
      <w:r>
        <w:rPr>
          <w:rFonts w:hint="eastAsia" w:ascii="仿宋" w:hAnsi="仿宋" w:eastAsia="黑体"/>
          <w:b/>
          <w:bCs/>
          <w:sz w:val="30"/>
          <w:szCs w:val="32"/>
        </w:rPr>
        <w:t>2、图书资料</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根据教育部、省、市相关文件规定，馆藏图书文献要适应专业发展的需要，有现代化的管理手段；图书馆应拥有数字化资源和具有检索本专业和其他各种信息资源的工具，如：维普数据、万方数据库、超星图书等；图书流通率较高，并且有计划地逐年增加，每年生均图书进书量不少于1册（专业期刊每期按照1册算）；校园网信息畅通。</w:t>
      </w:r>
    </w:p>
    <w:p>
      <w:pPr>
        <w:keepNext/>
        <w:keepLines/>
        <w:widowControl/>
        <w:spacing w:before="190" w:beforeLines="50" w:after="190" w:afterLines="50" w:line="500" w:lineRule="exact"/>
        <w:jc w:val="left"/>
        <w:outlineLvl w:val="2"/>
        <w:rPr>
          <w:rFonts w:ascii="仿宋" w:hAnsi="仿宋" w:eastAsia="黑体"/>
          <w:b/>
          <w:bCs/>
          <w:sz w:val="30"/>
          <w:szCs w:val="32"/>
        </w:rPr>
      </w:pPr>
      <w:bookmarkStart w:id="146" w:name="_Toc40345222"/>
      <w:bookmarkEnd w:id="146"/>
      <w:r>
        <w:rPr>
          <w:rFonts w:hint="eastAsia" w:ascii="仿宋" w:hAnsi="仿宋" w:eastAsia="黑体"/>
          <w:b/>
          <w:bCs/>
          <w:sz w:val="30"/>
          <w:szCs w:val="32"/>
        </w:rPr>
        <w:t>3、网络资源</w:t>
      </w:r>
    </w:p>
    <w:p>
      <w:pPr>
        <w:pStyle w:val="47"/>
      </w:pPr>
      <w:bookmarkStart w:id="147" w:name="_Toc40345223"/>
      <w:bookmarkEnd w:id="147"/>
      <w:bookmarkStart w:id="148" w:name="_Toc3866"/>
      <w:bookmarkEnd w:id="148"/>
      <w:bookmarkStart w:id="149" w:name="_Toc40343080"/>
      <w:bookmarkEnd w:id="149"/>
      <w:bookmarkStart w:id="150" w:name="_Toc89266117"/>
      <w:bookmarkStart w:id="151" w:name="_Toc86244995"/>
      <w:r>
        <w:rPr>
          <w:rFonts w:hint="eastAsia"/>
        </w:rPr>
        <w:t>在专业建设成果的基础上，积极开发和利用网络课程资源，与企业合作开发会计专业</w:t>
      </w:r>
      <w:r>
        <w:rPr>
          <w:rFonts w:hint="eastAsia"/>
          <w:lang w:val="en-US" w:eastAsia="zh-CN"/>
        </w:rPr>
        <w:t>财务共享</w:t>
      </w:r>
      <w:r>
        <w:rPr>
          <w:rFonts w:hint="eastAsia"/>
        </w:rPr>
        <w:t>平台，供学生实践使用；开发相关教学资源库，满足学生网上做题、答疑、师生交流的需要；以学生、教师、企业、社会为对象，实现资源共享,合作交流。</w:t>
      </w:r>
    </w:p>
    <w:p>
      <w:pPr>
        <w:keepNext/>
        <w:keepLines/>
        <w:widowControl/>
        <w:spacing w:before="190" w:beforeLines="50" w:after="190" w:afterLines="50" w:line="500" w:lineRule="exact"/>
        <w:jc w:val="left"/>
        <w:outlineLvl w:val="1"/>
        <w:rPr>
          <w:rFonts w:ascii="仿宋" w:hAnsi="仿宋" w:eastAsia="黑体" w:cstheme="majorBidi"/>
          <w:b/>
          <w:bCs/>
          <w:sz w:val="30"/>
          <w:szCs w:val="32"/>
        </w:rPr>
      </w:pPr>
      <w:r>
        <w:rPr>
          <w:rFonts w:hint="eastAsia" w:ascii="仿宋" w:hAnsi="仿宋" w:eastAsia="黑体" w:cstheme="majorBidi"/>
          <w:b/>
          <w:bCs/>
          <w:sz w:val="30"/>
          <w:szCs w:val="32"/>
        </w:rPr>
        <w:t>（四）教学方法</w:t>
      </w:r>
      <w:bookmarkEnd w:id="150"/>
      <w:bookmarkEnd w:id="151"/>
    </w:p>
    <w:p>
      <w:pPr>
        <w:keepNext/>
        <w:keepLines/>
        <w:widowControl/>
        <w:spacing w:before="190" w:beforeLines="50" w:after="190" w:afterLines="50" w:line="500" w:lineRule="exact"/>
        <w:jc w:val="left"/>
        <w:outlineLvl w:val="2"/>
        <w:rPr>
          <w:rFonts w:ascii="仿宋" w:hAnsi="仿宋" w:eastAsia="黑体"/>
          <w:b/>
          <w:bCs/>
          <w:sz w:val="30"/>
          <w:szCs w:val="32"/>
        </w:rPr>
      </w:pPr>
      <w:bookmarkStart w:id="152" w:name="_Toc40345224"/>
      <w:bookmarkEnd w:id="152"/>
      <w:r>
        <w:rPr>
          <w:rFonts w:hint="eastAsia" w:ascii="仿宋" w:hAnsi="仿宋" w:eastAsia="黑体"/>
          <w:b/>
          <w:bCs/>
          <w:sz w:val="30"/>
          <w:szCs w:val="32"/>
        </w:rPr>
        <w:t>1、探究式教学法</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为更好地实施</w:t>
      </w:r>
      <w:r>
        <w:rPr>
          <w:rFonts w:hint="eastAsia" w:ascii="仿宋_GB2312" w:hAnsi="Calibri" w:eastAsia="仿宋_GB2312" w:cs="Times New Roman"/>
          <w:sz w:val="28"/>
          <w:szCs w:val="28"/>
          <w:lang w:val="en-US" w:eastAsia="zh-CN"/>
        </w:rPr>
        <w:t>会计事务</w:t>
      </w:r>
      <w:r>
        <w:rPr>
          <w:rFonts w:hint="eastAsia" w:ascii="仿宋_GB2312" w:hAnsi="Calibri" w:eastAsia="仿宋_GB2312" w:cs="Times New Roman"/>
          <w:sz w:val="28"/>
          <w:szCs w:val="28"/>
        </w:rPr>
        <w:t>专业课程体系，实现专业人才培养目标，改变以往传统教学理念，坚持“以就业为导向，以学生为主体”的办学模式，采用探究式教学方法，充分发挥学生的主观能动性，激发学习兴趣和激情，自觉地、主动地探索，掌握认识和</w:t>
      </w:r>
      <w:r>
        <w:fldChar w:fldCharType="begin"/>
      </w:r>
      <w:r>
        <w:instrText xml:space="preserve"> HYPERLINK "https://baike.baidu.com/item/%E8%A7%A3%E5%86%B3/32786" </w:instrText>
      </w:r>
      <w:r>
        <w:fldChar w:fldCharType="separate"/>
      </w:r>
      <w:r>
        <w:rPr>
          <w:rFonts w:hint="eastAsia" w:ascii="仿宋_GB2312" w:hAnsi="Calibri" w:eastAsia="仿宋_GB2312" w:cs="Times New Roman"/>
          <w:sz w:val="28"/>
          <w:szCs w:val="28"/>
        </w:rPr>
        <w:t>解决</w:t>
      </w:r>
      <w:r>
        <w:rPr>
          <w:rFonts w:hint="eastAsia" w:ascii="仿宋_GB2312" w:hAnsi="Calibri" w:eastAsia="仿宋_GB2312" w:cs="Times New Roman"/>
          <w:sz w:val="28"/>
          <w:szCs w:val="28"/>
        </w:rPr>
        <w:fldChar w:fldCharType="end"/>
      </w:r>
      <w:r>
        <w:rPr>
          <w:rFonts w:hint="eastAsia" w:ascii="仿宋_GB2312" w:hAnsi="Calibri" w:eastAsia="仿宋_GB2312" w:cs="Times New Roman"/>
          <w:sz w:val="28"/>
          <w:szCs w:val="28"/>
        </w:rPr>
        <w:t>问题的</w:t>
      </w:r>
      <w:r>
        <w:fldChar w:fldCharType="begin"/>
      </w:r>
      <w:r>
        <w:instrText xml:space="preserve"> HYPERLINK "https://baike.baidu.com/item/%E6%96%B9%E6%B3%95/2444" </w:instrText>
      </w:r>
      <w:r>
        <w:fldChar w:fldCharType="separate"/>
      </w:r>
      <w:r>
        <w:rPr>
          <w:rFonts w:hint="eastAsia" w:ascii="仿宋_GB2312" w:hAnsi="Calibri" w:eastAsia="仿宋_GB2312" w:cs="Times New Roman"/>
          <w:sz w:val="28"/>
          <w:szCs w:val="28"/>
        </w:rPr>
        <w:t>方法</w:t>
      </w:r>
      <w:r>
        <w:rPr>
          <w:rFonts w:hint="eastAsia" w:ascii="仿宋_GB2312" w:hAnsi="Calibri" w:eastAsia="仿宋_GB2312" w:cs="Times New Roman"/>
          <w:sz w:val="28"/>
          <w:szCs w:val="28"/>
        </w:rPr>
        <w:fldChar w:fldCharType="end"/>
      </w:r>
      <w:r>
        <w:rPr>
          <w:rFonts w:hint="eastAsia" w:ascii="仿宋_GB2312" w:hAnsi="Calibri" w:eastAsia="仿宋_GB2312" w:cs="Times New Roman"/>
          <w:sz w:val="28"/>
          <w:szCs w:val="28"/>
        </w:rPr>
        <w:t>和步骤，研究客观事物的属性，发现事物发展的</w:t>
      </w:r>
      <w:r>
        <w:fldChar w:fldCharType="begin"/>
      </w:r>
      <w:r>
        <w:instrText xml:space="preserve"> HYPERLINK "https://baike.baidu.com/item/%E8%B5%B7%E5%9B%A0/10240875" </w:instrText>
      </w:r>
      <w:r>
        <w:fldChar w:fldCharType="separate"/>
      </w:r>
      <w:r>
        <w:rPr>
          <w:rFonts w:hint="eastAsia" w:ascii="仿宋_GB2312" w:hAnsi="Calibri" w:eastAsia="仿宋_GB2312" w:cs="Times New Roman"/>
          <w:sz w:val="28"/>
          <w:szCs w:val="28"/>
        </w:rPr>
        <w:t>起因</w:t>
      </w:r>
      <w:r>
        <w:rPr>
          <w:rFonts w:hint="eastAsia" w:ascii="仿宋_GB2312" w:hAnsi="Calibri" w:eastAsia="仿宋_GB2312" w:cs="Times New Roman"/>
          <w:sz w:val="28"/>
          <w:szCs w:val="28"/>
        </w:rPr>
        <w:fldChar w:fldCharType="end"/>
      </w:r>
      <w:r>
        <w:rPr>
          <w:rFonts w:hint="eastAsia" w:ascii="仿宋_GB2312" w:hAnsi="Calibri" w:eastAsia="仿宋_GB2312" w:cs="Times New Roman"/>
          <w:sz w:val="28"/>
          <w:szCs w:val="28"/>
        </w:rPr>
        <w:t>和事物内部的联系，从中找出规律，形成概念，建立自己的认知模型和学习方法架构。在教学中采用“创设情境——开放课堂——适时点拨——合作探究——创新作业”的教学流程，适合</w:t>
      </w:r>
      <w:r>
        <w:rPr>
          <w:rFonts w:hint="eastAsia" w:ascii="仿宋_GB2312" w:hAnsi="Calibri" w:eastAsia="仿宋_GB2312" w:cs="Times New Roman"/>
          <w:sz w:val="28"/>
          <w:szCs w:val="28"/>
          <w:lang w:val="en-US" w:eastAsia="zh-CN"/>
        </w:rPr>
        <w:t>会计事务</w:t>
      </w:r>
      <w:r>
        <w:rPr>
          <w:rFonts w:hint="eastAsia" w:ascii="仿宋_GB2312" w:hAnsi="Calibri" w:eastAsia="仿宋_GB2312" w:cs="Times New Roman"/>
          <w:sz w:val="28"/>
          <w:szCs w:val="28"/>
        </w:rPr>
        <w:t>专业教学的需要。</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（1）创设</w:t>
      </w:r>
      <w:r>
        <w:fldChar w:fldCharType="begin"/>
      </w:r>
      <w:r>
        <w:instrText xml:space="preserve"> HYPERLINK "https://baike.baidu.com/item/%E6%83%85%E5%A2%83" </w:instrText>
      </w:r>
      <w:r>
        <w:fldChar w:fldCharType="separate"/>
      </w:r>
      <w:r>
        <w:rPr>
          <w:rFonts w:hint="eastAsia" w:ascii="仿宋_GB2312" w:hAnsi="Calibri" w:eastAsia="仿宋_GB2312" w:cs="Times New Roman"/>
          <w:sz w:val="28"/>
          <w:szCs w:val="28"/>
        </w:rPr>
        <w:t>情境</w:t>
      </w:r>
      <w:r>
        <w:rPr>
          <w:rFonts w:hint="eastAsia" w:ascii="仿宋_GB2312" w:hAnsi="Calibri" w:eastAsia="仿宋_GB2312" w:cs="Times New Roman"/>
          <w:sz w:val="28"/>
          <w:szCs w:val="28"/>
        </w:rPr>
        <w:fldChar w:fldCharType="end"/>
      </w:r>
      <w:r>
        <w:rPr>
          <w:rFonts w:hint="eastAsia" w:ascii="仿宋_GB2312" w:hAnsi="Calibri" w:eastAsia="仿宋_GB2312" w:cs="Times New Roman"/>
          <w:sz w:val="28"/>
          <w:szCs w:val="28"/>
        </w:rPr>
        <w:t>，激发</w:t>
      </w:r>
      <w:r>
        <w:fldChar w:fldCharType="begin"/>
      </w:r>
      <w:r>
        <w:instrText xml:space="preserve"> HYPERLINK "https://baike.baidu.com/item/%E8%87%AA%E4%B8%BB" </w:instrText>
      </w:r>
      <w:r>
        <w:fldChar w:fldCharType="separate"/>
      </w:r>
      <w:r>
        <w:rPr>
          <w:rFonts w:hint="eastAsia" w:ascii="仿宋_GB2312" w:hAnsi="Calibri" w:eastAsia="仿宋_GB2312" w:cs="Times New Roman"/>
          <w:sz w:val="28"/>
          <w:szCs w:val="28"/>
        </w:rPr>
        <w:t>自主</w:t>
      </w:r>
      <w:r>
        <w:rPr>
          <w:rFonts w:hint="eastAsia" w:ascii="仿宋_GB2312" w:hAnsi="Calibri" w:eastAsia="仿宋_GB2312" w:cs="Times New Roman"/>
          <w:sz w:val="28"/>
          <w:szCs w:val="28"/>
        </w:rPr>
        <w:fldChar w:fldCharType="end"/>
      </w:r>
      <w:r>
        <w:rPr>
          <w:rFonts w:hint="eastAsia" w:ascii="仿宋_GB2312" w:hAnsi="Calibri" w:eastAsia="仿宋_GB2312" w:cs="Times New Roman"/>
          <w:sz w:val="28"/>
          <w:szCs w:val="28"/>
        </w:rPr>
        <w:t>探究欲望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探究式教学的载体与核心是问题，学习活动是围绕问题展开的。探究式教学的出发点是设定需要解答的问题，这是进一步探究的起点。从教学的角度讲，教师需要根据教学目的和内容，精心考量，提出难度适度、逻辑合理的问题。</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w:t>
      </w:r>
      <w:r>
        <w:fldChar w:fldCharType="begin"/>
      </w:r>
      <w:r>
        <w:instrText xml:space="preserve"> HYPERLINK "https://baike.baidu.com/item/%E5%BC%80%E6%94%BE/82298" </w:instrText>
      </w:r>
      <w:r>
        <w:fldChar w:fldCharType="separate"/>
      </w:r>
      <w:r>
        <w:rPr>
          <w:rFonts w:hint="eastAsia" w:ascii="仿宋_GB2312" w:hAnsi="Calibri" w:eastAsia="仿宋_GB2312" w:cs="Times New Roman"/>
          <w:sz w:val="28"/>
          <w:szCs w:val="28"/>
        </w:rPr>
        <w:t>开放</w:t>
      </w:r>
      <w:r>
        <w:rPr>
          <w:rFonts w:hint="eastAsia" w:ascii="仿宋_GB2312" w:hAnsi="Calibri" w:eastAsia="仿宋_GB2312" w:cs="Times New Roman"/>
          <w:sz w:val="28"/>
          <w:szCs w:val="28"/>
        </w:rPr>
        <w:fldChar w:fldCharType="end"/>
      </w:r>
      <w:r>
        <w:rPr>
          <w:rFonts w:hint="eastAsia" w:ascii="仿宋_GB2312" w:hAnsi="Calibri" w:eastAsia="仿宋_GB2312" w:cs="Times New Roman"/>
          <w:sz w:val="28"/>
          <w:szCs w:val="28"/>
        </w:rPr>
        <w:t>课堂，发掘自主探究潜能</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在富有开放性的问题情境中进行实验探究。这是教学的</w:t>
      </w:r>
      <w:r>
        <w:fldChar w:fldCharType="begin"/>
      </w:r>
      <w:r>
        <w:instrText xml:space="preserve"> HYPERLINK "https://baike.baidu.com/item/%E5%85%B3%E9%94%AE%E6%AD%A5%E9%AA%A4" </w:instrText>
      </w:r>
      <w:r>
        <w:fldChar w:fldCharType="separate"/>
      </w:r>
      <w:r>
        <w:rPr>
          <w:rFonts w:hint="eastAsia" w:ascii="仿宋_GB2312" w:hAnsi="Calibri" w:eastAsia="仿宋_GB2312" w:cs="Times New Roman"/>
          <w:sz w:val="28"/>
          <w:szCs w:val="28"/>
        </w:rPr>
        <w:t>关键步骤</w:t>
      </w:r>
      <w:r>
        <w:rPr>
          <w:rFonts w:hint="eastAsia" w:ascii="仿宋_GB2312" w:hAnsi="Calibri" w:eastAsia="仿宋_GB2312" w:cs="Times New Roman"/>
          <w:sz w:val="28"/>
          <w:szCs w:val="28"/>
        </w:rPr>
        <w:fldChar w:fldCharType="end"/>
      </w:r>
      <w:r>
        <w:rPr>
          <w:rFonts w:hint="eastAsia" w:ascii="仿宋_GB2312" w:hAnsi="Calibri" w:eastAsia="仿宋_GB2312" w:cs="Times New Roman"/>
          <w:sz w:val="28"/>
          <w:szCs w:val="28"/>
        </w:rPr>
        <w:t>，教师首先要帮助学生拟定合理的研究计划，选择恰当的方法。同时，要求教师提供一定的实验条件或必要的资料，由学生自己动手去实验或者查阅，来寻求问题的答案，提出某些假设。这时，教师起到一个组织者的角色，指导、规范学生的探索过程。这个过程可以由单个学生自己完成，也可以由教师将学生分组来完成。要注意培养学生寻求合作的团队精神。经过探究过程，学生要把自己的实验过程或者查阅的资料进行总结梳理，得出自己的结论和解释。不同的学生或者团队可以就同一问题提出不同的解释或看法。他们要能够将自己的结论清楚地表达出来，大家共同探讨。</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（3）适时</w:t>
      </w:r>
      <w:r>
        <w:fldChar w:fldCharType="begin"/>
      </w:r>
      <w:r>
        <w:instrText xml:space="preserve"> HYPERLINK "https://baike.baidu.com/item/%E7%82%B9%E6%8B%A8" </w:instrText>
      </w:r>
      <w:r>
        <w:fldChar w:fldCharType="separate"/>
      </w:r>
      <w:r>
        <w:rPr>
          <w:rFonts w:hint="eastAsia" w:ascii="仿宋_GB2312" w:hAnsi="Calibri" w:eastAsia="仿宋_GB2312" w:cs="Times New Roman"/>
          <w:sz w:val="28"/>
          <w:szCs w:val="28"/>
        </w:rPr>
        <w:t>点拨</w:t>
      </w:r>
      <w:r>
        <w:rPr>
          <w:rFonts w:hint="eastAsia" w:ascii="仿宋_GB2312" w:hAnsi="Calibri" w:eastAsia="仿宋_GB2312" w:cs="Times New Roman"/>
          <w:sz w:val="28"/>
          <w:szCs w:val="28"/>
        </w:rPr>
        <w:fldChar w:fldCharType="end"/>
      </w:r>
      <w:r>
        <w:rPr>
          <w:rFonts w:hint="eastAsia" w:ascii="仿宋_GB2312" w:hAnsi="Calibri" w:eastAsia="仿宋_GB2312" w:cs="Times New Roman"/>
          <w:sz w:val="28"/>
          <w:szCs w:val="28"/>
        </w:rPr>
        <w:t>，诱导探究的方向</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教师为了达到让学生自主学习的目的，引导学生自己去发现问题，学生不明白时可适当点拨，诱导探究的方向</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（4）课堂上合作探究，训练主动学习的能力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在探究教学中，教师是引导者，基本任务是启发诱导，学生是探究者，其主要任务是通过自己的探究，发现新事物。在课堂上，让学生交流自学成果，合作学习，探究疑难。让学生对“交流成果”环节中所提出的问题以及普遍存在的模糊认识进行讨论，在合作学习中大胆质疑解疑。讨论的形式可以灵活多样，可以同桌互帮，四人小组研讨，全班辩论等，为学生充分表现、合作、竞争搭建舞台，使教师指导和学生自主探究相结合，传授知识和解决问题相结合，单一性思考和求异性思维相结合。</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（5）课后布置创新性作业，激励学生主动学习</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为了激发学生自主、合作、探究的学习兴趣，课后，教师布置的作业要改革，努力减轻学生的课业负担。留因材施教的作业，留</w:t>
      </w:r>
      <w:r>
        <w:fldChar w:fldCharType="begin"/>
      </w:r>
      <w:r>
        <w:instrText xml:space="preserve"> HYPERLINK "https://baike.baidu.com/item/%E8%AF%BE%E5%A4%96%E9%98%85%E8%AF%BB" </w:instrText>
      </w:r>
      <w:r>
        <w:fldChar w:fldCharType="separate"/>
      </w:r>
      <w:r>
        <w:rPr>
          <w:rFonts w:hint="eastAsia" w:ascii="仿宋_GB2312" w:hAnsi="Calibri" w:eastAsia="仿宋_GB2312" w:cs="Times New Roman"/>
          <w:sz w:val="28"/>
          <w:szCs w:val="28"/>
        </w:rPr>
        <w:t>课外阅读</w:t>
      </w:r>
      <w:r>
        <w:rPr>
          <w:rFonts w:hint="eastAsia" w:ascii="仿宋_GB2312" w:hAnsi="Calibri" w:eastAsia="仿宋_GB2312" w:cs="Times New Roman"/>
          <w:sz w:val="28"/>
          <w:szCs w:val="28"/>
        </w:rPr>
        <w:fldChar w:fldCharType="end"/>
      </w:r>
      <w:r>
        <w:rPr>
          <w:rFonts w:hint="eastAsia" w:ascii="仿宋_GB2312" w:hAnsi="Calibri" w:eastAsia="仿宋_GB2312" w:cs="Times New Roman"/>
          <w:sz w:val="28"/>
          <w:szCs w:val="28"/>
        </w:rPr>
        <w:t>的作业，留写日记的作业，留想象的作业。</w:t>
      </w:r>
    </w:p>
    <w:p>
      <w:pPr>
        <w:keepNext/>
        <w:keepLines/>
        <w:widowControl/>
        <w:spacing w:before="190" w:beforeLines="50" w:after="190" w:afterLines="50" w:line="500" w:lineRule="exact"/>
        <w:jc w:val="left"/>
        <w:outlineLvl w:val="2"/>
        <w:rPr>
          <w:rFonts w:ascii="仿宋" w:hAnsi="仿宋" w:eastAsia="黑体"/>
          <w:b/>
          <w:bCs/>
          <w:sz w:val="30"/>
          <w:szCs w:val="32"/>
        </w:rPr>
      </w:pPr>
      <w:bookmarkStart w:id="153" w:name="_Toc40345225"/>
      <w:bookmarkEnd w:id="153"/>
      <w:bookmarkStart w:id="154" w:name="_Toc40343081"/>
      <w:bookmarkEnd w:id="154"/>
      <w:bookmarkStart w:id="155" w:name="_Toc13447"/>
      <w:r>
        <w:rPr>
          <w:rFonts w:hint="eastAsia" w:ascii="仿宋" w:hAnsi="仿宋" w:eastAsia="黑体"/>
          <w:b/>
          <w:bCs/>
          <w:sz w:val="30"/>
          <w:szCs w:val="32"/>
        </w:rPr>
        <w:t>2、参与式教学法</w:t>
      </w:r>
      <w:bookmarkEnd w:id="155"/>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参与式教学强调学习者已有的经验，与同伴合作、交流，一起寻找、分析、解决问题的途径，以提高师生的批判意识和自主发展能力。此方式力图使教学活动中的每一个人都投人到学习活动之中，都有表达和交流的机会，在平等对话中产生新的思想和认识，丰富个人体验和经历，并产生新的结果与智慧，进而提高自己改变现状的自信心和自主能力。在教学过程中,把教师和学生都置于主体地位上,让师生双主体在教与学之间相互参与、相互激励、相互协调、相互促进和相互统一,充分发挥教师“教”和学生“学”两个主体的作用,使师生在互动过程中顺利完成教学任务、实现教学目标的方法。它调动了教师和学生两个方面的积极性，发扬了教学民主、学术自由、创造了师生之间的平等的、和谐的、愉快的、健康的学习氛围，是教师教学方法和学生学习方法的融合和统一。在教学过程中按照以下五步开展：</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相信学生、尊重学生。要让学生主动参与，首先要相信学生、尊重学生，认真倾听他们的意见，了解他们的所思所想，了解他们的已有发展水平，从他们的兴趣和意愿出发，这样他们参与的积极性、主动性就会调动起来。</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调整课堂教学结构，为学生创设主动参与的机制。要改变单调的教学结构，创设多样化的教学形式，如讨论、小组合作学习、竞争、学生互问互答互评等。这种多样化的教学形式创设，要与具体学科相结合。课堂教学结构的重新设计和调整为学生创造了参与的条件，极大地调动了学生的积极性，课堂气氛热烈，师生交流频繁，学生积极地投入到了学习中。</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让学生参与教学的各个环节。教学活动是教师指导下学生主动学习的过程，教与学是一个过程的两个方面，二者相伴而随。学生参与教学，就是要参与到教学的各个环节。利用各个环节的教学促进学生的发展，最大限度地发挥他们的主观能动性</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激发学生兴趣，注意分层参与。教师要营造课堂气氛，诱导学生内在的学习需要，激发其学习兴趣，把课堂变为充满生命活力的学习乐园，如精心设计新授课指导语，巧设问题、制造学习障碍、强化操作环节、创设情境、灵活运用教学媒体、发掘和运用人体无声语言等，都可以为学生营造参与的氛围。</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教师平等地参与到学生的活动中。教师是教学活动中的一员，除了宏观上处于主导地位外，他和学生应是平等的。教师站在学生的角度，从学生的心理特点出发，以平等的身份与学生一起自由地选择问题、设计方案、讨论问题，提出自己的不同见解，给学生以启发、诱导，给学生以平等和认同感，缩短师生间的心理距离，这样，学生就会由衷地展现自己真实的内心世界，积极大胆主动地参与到活动中。教师参与活动要切忌简单地作出“ 对”“ 错”“ 好”“ 坏” 的判断和评语，要注意充分调动学生的积极性。与过去的旧的相比，参与式教学法由于符合人类学习过程的心理学规律，因而更有利于培养出有独立思考能力，有创新精神，有解决实际问题能力的人才。</w:t>
      </w:r>
    </w:p>
    <w:p>
      <w:pPr>
        <w:keepNext/>
        <w:keepLines/>
        <w:widowControl/>
        <w:spacing w:before="190" w:beforeLines="50" w:after="190" w:afterLines="50" w:line="500" w:lineRule="exact"/>
        <w:jc w:val="left"/>
        <w:outlineLvl w:val="2"/>
        <w:rPr>
          <w:rFonts w:ascii="仿宋" w:hAnsi="仿宋" w:eastAsia="黑体"/>
          <w:b/>
          <w:bCs/>
          <w:sz w:val="30"/>
          <w:szCs w:val="32"/>
        </w:rPr>
      </w:pPr>
      <w:bookmarkStart w:id="156" w:name="_Toc40345226"/>
      <w:bookmarkEnd w:id="156"/>
      <w:bookmarkStart w:id="157" w:name="_Toc17887"/>
      <w:bookmarkEnd w:id="157"/>
      <w:bookmarkStart w:id="158" w:name="_Toc40343082"/>
      <w:r>
        <w:rPr>
          <w:rFonts w:hint="eastAsia" w:ascii="仿宋" w:hAnsi="仿宋" w:eastAsia="黑体"/>
          <w:b/>
          <w:bCs/>
          <w:sz w:val="30"/>
          <w:szCs w:val="32"/>
        </w:rPr>
        <w:t>3、讨论式教学法</w:t>
      </w:r>
      <w:bookmarkEnd w:id="158"/>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讨论式教学法是在教师的指导下，针对教材中的基础理论或主要疑难问题，在学生独立思考之后，共同进行讨论、辩论的教学组织形式及教学方法，可以全班进行，也可分大组进行。利用该法组织教学，教师作为“导演”，对学生的思维加以引导和启发，学生则是在教师指导下进行有意识的思维探索活动。学生的学习始终处于“问题—思考—探索—解答”的积极状态。学生看问题的方法不同，会从各个角度、各个侧面来揭示基本概念的内涵和基本规律的实质，如果就这些不同观点和看法展开讨论，就会形成强烈的外部刺激，引起学生的高度兴趣和注意，从而产生自主性、探索性和协同性的学习。教师在教学过程中按照以下基本程序开展：</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（1）课前准备</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课前教师要根据教学内容、教学目标和学生的起点行为，精心设计预习题。要求是：①问题要具体，目标要明确。要使学生通过预习明确下堂课的教学目标和疑难问题各是什么。学生把问题带进课堂，使课堂具有较为明确的目的性和选择性。②问题要有程序性和启发性。题目的安排顺序要与学生的起点行为、思维的发展顺序相一致，叙述要有利于启发学生的思维。③深度、难度、广度要与学生的知识和能力水平相适应。思考题不能过深过难，否则会给学生造成较大的心理压力，理不清预习内容的思路。这样的预习就毫无价值。</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（2）讨论过程</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讨论式教学法的过程一般采用分组讨论、全班讨论或者是二者结合等形式。分组讨论是以相邻2—4人为一组；全班讨论是在分组讨论的基础上就某些共同性问题或分歧意见由教师组织进行的。讨论能否取得好的效果，其关键是：①讨论题的设置要恰当。②要调动全班同学参与讨论的积极性。</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（3）整理过程</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整理能使零碎和粗浅的认识理性化和系统化。整理过程的目的是加深并强化全体学生的认识，对讨论中出现的各种意见加以去粗取精，提炼升华，形成全体学生的共同认识。这对于完善学生的认知结构，发展思维能力具有决定性的作用。</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（4）巩固过程</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该过程是学生运用在课堂上获得的知识去分析和解决一些知识性习题，从而达到巩固所学知识的目的。练习可采用问答、板演和书面练习等形式进行，同时教师还必须善于抓住学生练习中出现的共性问题进行讲评。</w:t>
      </w:r>
    </w:p>
    <w:p>
      <w:pPr>
        <w:keepNext/>
        <w:keepLines/>
        <w:widowControl/>
        <w:spacing w:before="190" w:beforeLines="50" w:after="190" w:afterLines="50" w:line="500" w:lineRule="exact"/>
        <w:jc w:val="left"/>
        <w:outlineLvl w:val="2"/>
        <w:rPr>
          <w:rFonts w:ascii="仿宋" w:hAnsi="黑体" w:eastAsia="黑体"/>
          <w:b/>
          <w:bCs/>
          <w:sz w:val="30"/>
          <w:szCs w:val="32"/>
        </w:rPr>
      </w:pPr>
      <w:bookmarkStart w:id="159" w:name="_Toc40343083"/>
      <w:bookmarkEnd w:id="159"/>
      <w:bookmarkStart w:id="160" w:name="_Toc40345227"/>
      <w:bookmarkEnd w:id="160"/>
      <w:bookmarkStart w:id="161" w:name="_Toc3950"/>
      <w:r>
        <w:rPr>
          <w:rFonts w:hint="eastAsia" w:ascii="仿宋" w:hAnsi="仿宋" w:eastAsia="黑体"/>
          <w:b/>
          <w:bCs/>
          <w:sz w:val="30"/>
          <w:szCs w:val="32"/>
        </w:rPr>
        <w:t>4、启发式教学法</w:t>
      </w:r>
      <w:bookmarkEnd w:id="161"/>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在遵循 “学生为主体，教师为主导” 的现代教学指导思想的前提下，贯彻启发性教学思想，进行启发式教学，提高学生学习积极性，从而全方位地提高学生的能力，促进其身心发展。可以由一问一答、一讲一练的形式来体现；也可以通过教师的生动讲述使学生产生联想，留下深刻印象而实现。培养学生分析问题、解决问题的能力，通过经历问题的解决过程，激发学生的自主学习热情，提高学习兴趣，而且通过对解决问题的方法的探索，可以激发学生的创造热情，培养创新能力。教师在教学过程中按照以下基本程序开展：</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（1）激发学生的积极思维</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教师注意激发学生的学习动机，培养学生的学习兴趣，让学生成为学习的主人。学习是复杂的思维活动，是在教师的指导下，不断地提出问题，分析问题和解决问题的过程。课堂提问就是一种引导学生主动思考的有效方法。那么，在课堂上如何提问调动学生学习的积极性，使一个复杂的问题变的简单化，便于学生思考，这其中包含着许多教学的艺术性，需要教师在备课过程中深思熟虑，讲课时灵活处理，根据学生的具体反映随机应变的处理课堂教学内容，来取得良好的教学效果。</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（2）在教学目标上，以坚持实行素质教育，实现人的全面发展为目的</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现代启发性教学思想与“以传授知识为最终目的”的或仅注重人的智力发展的教学思想是根本对立的。它反对食而化、仿而不创的“学而优”，反对扼杀人的主体精神和个性的“死读书”。因此，现代教学思想反对那种只注重如何提高学件应试成绩的单一化教学目标，它从人的全面发展出发，以培养创新精神和实践能力为重点，确立多元化的素质教育目标，在教学中从重传授知识转变为重指导学生学会学习、重学生能力养成，使学生在知识、能力和素质上协调发展。</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（3）在教与学的关系上，坚持教师的主导作用与学生的主体作用相结合。</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教师的“教”是为了使学生更有效地“学”，从根本上来说是为了促进学生个体发展和主体精神的培养。因此，必须改变以教师为中心的教育教学观念，承认学生是有灵性、有理性、有感性的能动主体，强调学生积极主动参与教学活动，在教学上建立一种平等、民主的新型师生关系，一种师生为探求知识和真理而共同合作的、教学相长的伙伴关系。教师要通过重视学生的个体差异来面向全体学生，把调动每一个学生的学习主动性、积极性和创造性作为发挥教师“主导”作用的出发点和落脚点。</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（4）在教学过程和方法上、注重师生之间的交流</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现代启发式教学思想反对那种“满堂灌”、“填鸭”式的“注入式”、“单向灌输知识”的教学方式，强调加强师生之间、学生之间的沟通交流，形成一种能容纳不同观点、不同思维方式的教学氛围，鼓励学生积极思维，敢于提出问题，善于提出问题，以取得较好的教学效果，促进学生创新精神的培养。这要求教师要创造民主和谐的良好氛围，形成良好的师生关系和生动活泼的课堂气氛，使民主与科学精神在课堂教学中得到充分的张扬与展现。</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（5）启发学生独立思考，发展学生的智力和能力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这要求教师善于提问善于设问，通过科学而有层次的问题来启发学生的思维，使其在经常性的“茅塞顿开”中发展逻辑思维能力。教师在传授知识的过程中，还要注意发展学生的智力和培养学生的能力。叶圣陶先生说的“教是为了达到用不着教”的意思，就是要求我们教会学生独立学习，要求教师有目的有计划的培养，提高学生对客观事物和所学知识的观察、分析、比较、归纳、综合、抽象、概括、演绎、推理、判断、加工、创造和表达等方面的能力。这些能力的培养要持之以恒地通过各种方式培养训练才可能见效。</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（6）让学生动手，培养独立解决问题的能力</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 xml:space="preserve"> 这要求教师要注意培养学生解决实际问题的能力，通过由易到难的各种作业与实际动手操作活动，来培养学生独立解决问题的能力。</w:t>
      </w:r>
    </w:p>
    <w:p>
      <w:pPr>
        <w:keepNext/>
        <w:keepLines/>
        <w:widowControl/>
        <w:spacing w:before="190" w:beforeLines="50" w:after="190" w:afterLines="50" w:line="500" w:lineRule="exact"/>
        <w:jc w:val="left"/>
        <w:outlineLvl w:val="2"/>
        <w:rPr>
          <w:rFonts w:ascii="仿宋" w:hAnsi="仿宋" w:eastAsia="黑体"/>
          <w:b/>
          <w:bCs/>
          <w:sz w:val="30"/>
          <w:szCs w:val="32"/>
        </w:rPr>
      </w:pPr>
      <w:r>
        <w:rPr>
          <w:rFonts w:hint="eastAsia" w:ascii="仿宋" w:hAnsi="仿宋" w:eastAsia="黑体"/>
          <w:b/>
          <w:bCs/>
          <w:sz w:val="30"/>
          <w:szCs w:val="32"/>
        </w:rPr>
        <w:t>5、任务驱动教学法</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任务驱动教学法”是一种建立在建构主义学习理论基础上的教学法，它将以往以传授知识为主的传统教学理念，转变为以解决问题、完成任务为主的多维互动式的教学理念；将再现式教学转变为探究式学习，使学生处于积极的学习状态，每一位学生都能根据自己对当前问题的理解，运用共有的知识和自己特有的经验提出方案、解决问题。</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基本环节：（1）创设情境：使学生的学习能在与现实情况基本一致或相类似的情境中发生。需要创设与当前学习主题相关的、尽可能真实的学习情境，引导学习者带着真实的"任务"进入学习情境，使学习更加直观和形象化。生动直观的形象能有效地激发学生联想，唤起学生原有认知结构中有关的知识、经验及表象，从而使学生利用有关知识与经验去"同化"或"顺应"所学的新知识，发展能力。（2）确定问题（任务）：在创设的情境下。选择与当前学习主题密切相关的真实性事件或问题（任务）作为学习的中心内容，让学生面临一个需要立即去解决的现实问题。问题（任务）的解决有可能使学生更主动、更广泛地激活原有知识和经验，来理解、分析并解决当前问题，问题的解决为新旧知识的衔接、拓展提供了理想的平台，通过问题的解决来建构知识，正是探索性学习的主要特征。（3）自主学习、协作学习；不是由教师直接告诉学生应当如何去解决面临的问题，而是由教师向学生提供解决该问题的有关线索，如需要搜集哪一类资料、从何处获取有关的信息资料等。强调发展学生的 "自主学习"能力。同时，倡导学生之间的讨论和交流，通过不同观点的交锋，补充、修正和加深每个学生对当前问题的解决方案。（4）效果评价：对学习效果的评价主要包括两部分内容，一方面是对学生是否完成当前问题的解决方案的过程和结果的评价，即所学知识的意义建构的评价，而更重要的一方面是对学生自主学习及协作学习能力的评价。</w:t>
      </w:r>
    </w:p>
    <w:p>
      <w:pPr>
        <w:keepNext/>
        <w:keepLines/>
        <w:widowControl/>
        <w:spacing w:before="190" w:beforeLines="50" w:after="190" w:afterLines="50" w:line="500" w:lineRule="exact"/>
        <w:jc w:val="left"/>
        <w:outlineLvl w:val="2"/>
        <w:rPr>
          <w:rFonts w:ascii="仿宋" w:hAnsi="Calibri" w:eastAsia="黑体"/>
          <w:b/>
          <w:bCs/>
          <w:sz w:val="30"/>
          <w:szCs w:val="32"/>
        </w:rPr>
      </w:pPr>
      <w:r>
        <w:rPr>
          <w:rFonts w:hint="eastAsia" w:ascii="仿宋" w:hAnsi="仿宋" w:eastAsia="黑体"/>
          <w:b/>
          <w:bCs/>
          <w:sz w:val="30"/>
          <w:szCs w:val="32"/>
        </w:rPr>
        <w:t>6、活动教学法</w:t>
      </w:r>
    </w:p>
    <w:p>
      <w:pPr>
        <w:spacing w:line="4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活动教学法，是教师根据教学要求和学生获取知识的过程为学生提供适当的</w:t>
      </w:r>
      <w:r>
        <w:fldChar w:fldCharType="begin"/>
      </w:r>
      <w:r>
        <w:instrText xml:space="preserve"> HYPERLINK "https://baike.baidu.com/item/%E6%95%99%E5%AD%A6%E6%83%85%E5%A2%83/8705711" </w:instrText>
      </w:r>
      <w:r>
        <w:fldChar w:fldCharType="separate"/>
      </w:r>
      <w:r>
        <w:rPr>
          <w:rFonts w:hint="eastAsia" w:ascii="仿宋_GB2312" w:hAnsi="仿宋" w:eastAsia="仿宋_GB2312" w:cs="Times New Roman"/>
          <w:color w:val="000000"/>
          <w:sz w:val="28"/>
          <w:szCs w:val="28"/>
          <w:u w:val="single"/>
        </w:rPr>
        <w:t>教学情境</w:t>
      </w:r>
      <w:r>
        <w:rPr>
          <w:rFonts w:hint="eastAsia" w:ascii="仿宋_GB2312" w:hAnsi="仿宋" w:eastAsia="仿宋_GB2312" w:cs="Times New Roman"/>
          <w:color w:val="000000"/>
          <w:sz w:val="28"/>
          <w:szCs w:val="28"/>
          <w:u w:val="single"/>
        </w:rPr>
        <w:fldChar w:fldCharType="end"/>
      </w:r>
      <w:r>
        <w:rPr>
          <w:rFonts w:hint="eastAsia" w:ascii="仿宋_GB2312" w:hAnsi="仿宋" w:eastAsia="仿宋_GB2312" w:cs="Times New Roman"/>
          <w:color w:val="000000"/>
          <w:sz w:val="28"/>
          <w:szCs w:val="28"/>
        </w:rPr>
        <w:t>，根据学生身心发展的程度和特点设置，让学生凭自己的能力参与阅读、讨论、游戏、学具操作等去学习知识的</w:t>
      </w:r>
      <w:r>
        <w:fldChar w:fldCharType="begin"/>
      </w:r>
      <w:r>
        <w:instrText xml:space="preserve"> HYPERLINK "https://baike.baidu.com/item/%E8%AF%BE%E5%A0%82%E6%95%99%E5%AD%A6/10869982" </w:instrText>
      </w:r>
      <w:r>
        <w:fldChar w:fldCharType="separate"/>
      </w:r>
      <w:r>
        <w:rPr>
          <w:rFonts w:hint="eastAsia" w:ascii="仿宋_GB2312" w:hAnsi="仿宋" w:eastAsia="仿宋_GB2312" w:cs="Times New Roman"/>
          <w:color w:val="000000"/>
          <w:sz w:val="28"/>
          <w:szCs w:val="28"/>
          <w:u w:val="single"/>
        </w:rPr>
        <w:t>课堂教学</w:t>
      </w:r>
      <w:r>
        <w:rPr>
          <w:rFonts w:hint="eastAsia" w:ascii="仿宋_GB2312" w:hAnsi="仿宋" w:eastAsia="仿宋_GB2312" w:cs="Times New Roman"/>
          <w:color w:val="000000"/>
          <w:sz w:val="28"/>
          <w:szCs w:val="28"/>
          <w:u w:val="single"/>
        </w:rPr>
        <w:fldChar w:fldCharType="end"/>
      </w:r>
      <w:r>
        <w:rPr>
          <w:rFonts w:hint="eastAsia" w:ascii="仿宋_GB2312" w:hAnsi="仿宋" w:eastAsia="仿宋_GB2312" w:cs="Times New Roman"/>
          <w:color w:val="000000"/>
          <w:sz w:val="28"/>
          <w:szCs w:val="28"/>
        </w:rPr>
        <w:t>方法或过程。这种教学方法的特点是学生参与活动，通过听觉、视觉、</w:t>
      </w:r>
      <w:r>
        <w:fldChar w:fldCharType="begin"/>
      </w:r>
      <w:r>
        <w:instrText xml:space="preserve"> HYPERLINK "https://baike.baidu.com/item/%E7%A9%BA%E9%97%B4%E7%9F%A5%E8%A7%89/2199042" </w:instrText>
      </w:r>
      <w:r>
        <w:fldChar w:fldCharType="separate"/>
      </w:r>
      <w:r>
        <w:rPr>
          <w:rFonts w:hint="eastAsia" w:ascii="仿宋_GB2312" w:hAnsi="仿宋" w:eastAsia="仿宋_GB2312" w:cs="Times New Roman"/>
          <w:color w:val="000000"/>
          <w:sz w:val="28"/>
          <w:szCs w:val="28"/>
          <w:u w:val="single"/>
        </w:rPr>
        <w:t>空间知觉</w:t>
      </w:r>
      <w:r>
        <w:rPr>
          <w:rFonts w:hint="eastAsia" w:ascii="仿宋_GB2312" w:hAnsi="仿宋" w:eastAsia="仿宋_GB2312" w:cs="Times New Roman"/>
          <w:color w:val="000000"/>
          <w:sz w:val="28"/>
          <w:szCs w:val="28"/>
          <w:u w:val="single"/>
        </w:rPr>
        <w:fldChar w:fldCharType="end"/>
      </w:r>
      <w:r>
        <w:rPr>
          <w:rFonts w:hint="eastAsia" w:ascii="仿宋_GB2312" w:hAnsi="仿宋" w:eastAsia="仿宋_GB2312" w:cs="Times New Roman"/>
          <w:color w:val="000000"/>
          <w:sz w:val="28"/>
          <w:szCs w:val="28"/>
        </w:rPr>
        <w:t>、触觉等在大脑指挥下协同活动而获取知识。活动教学能很好地激发学生学习音乐的兴趣，形式活泼、内容丰富的活动吸引学生积极地参与，从而得到愉悦的情感体验，由情感上升为审美，在审美中完善人格。活动教学充分体现学生的主体性，活动中体现学生的主动探究、主动操作。注重每个学生亲自参与到各种形式的活动中去，注重学生身心的投入和个性的自由抒发。活动教学有助于合作意识的培养，教学中的小组活动、自由讨论等形式，能充分体现同学之间、师生之间的互相帮助、互相启发的精神，达到共同提高。活动教学注重培养学生的创新精神，在活动中学生的个性得到充分发挥，促进求异性思维的发展， 培养学生的创作能力。</w:t>
      </w:r>
    </w:p>
    <w:p>
      <w:pPr>
        <w:keepNext/>
        <w:keepLines/>
        <w:widowControl/>
        <w:spacing w:before="190" w:beforeLines="50" w:after="190" w:afterLines="50" w:line="500" w:lineRule="exact"/>
        <w:jc w:val="left"/>
        <w:outlineLvl w:val="2"/>
        <w:rPr>
          <w:rFonts w:ascii="仿宋" w:hAnsi="Calibri" w:eastAsia="黑体"/>
          <w:b/>
          <w:bCs/>
          <w:sz w:val="30"/>
          <w:szCs w:val="32"/>
        </w:rPr>
      </w:pPr>
      <w:r>
        <w:rPr>
          <w:rFonts w:hint="eastAsia" w:ascii="仿宋" w:hAnsi="仿宋" w:eastAsia="黑体"/>
          <w:b/>
          <w:bCs/>
          <w:sz w:val="30"/>
          <w:szCs w:val="32"/>
        </w:rPr>
        <w:t>7、自主学习教学法</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自主学习是以学生作为学习的主体，通过学生独立地分析、探索、实践、质疑、创造等方法来实现学习目标。具体步骤如下：</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（1）先学后教，让学生预习感悟，小组交流。</w:t>
      </w:r>
      <w:r>
        <w:rPr>
          <w:rFonts w:ascii="仿宋_GB2312" w:hAnsi="Calibri" w:eastAsia="仿宋_GB2312" w:cs="Calibri"/>
          <w:sz w:val="28"/>
          <w:szCs w:val="28"/>
        </w:rPr>
        <w:t xml:space="preserve"> </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学生会的教师不讲，教师只是点拨引导，如果遇到疑难，先在小组内交流，如果学生能解决的教师不讲，真正把时间与空间都还给学生。</w:t>
      </w:r>
      <w:r>
        <w:rPr>
          <w:rFonts w:ascii="仿宋_GB2312" w:hAnsi="Calibri" w:eastAsia="仿宋_GB2312" w:cs="Calibri"/>
          <w:sz w:val="28"/>
          <w:szCs w:val="28"/>
        </w:rPr>
        <w:t xml:space="preserve"> </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（2）自我检测，在检测中教师收集反馈信息，及时地调控课堂。</w:t>
      </w:r>
      <w:r>
        <w:rPr>
          <w:rFonts w:ascii="仿宋_GB2312" w:hAnsi="Calibri" w:eastAsia="仿宋_GB2312" w:cs="Calibri"/>
          <w:sz w:val="28"/>
          <w:szCs w:val="28"/>
        </w:rPr>
        <w:t xml:space="preserve"> </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当学生自学完毕后，直接进行自我检测，教师认真旁观，及时发现问题，调控课堂，针对性地点拨引导。</w:t>
      </w:r>
      <w:r>
        <w:rPr>
          <w:rFonts w:ascii="仿宋_GB2312" w:hAnsi="Calibri" w:eastAsia="仿宋_GB2312" w:cs="Calibri"/>
          <w:sz w:val="28"/>
          <w:szCs w:val="28"/>
        </w:rPr>
        <w:t xml:space="preserve"> </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（3）展示点评，学生之间交流互评，在评议中互帮互学。</w:t>
      </w:r>
      <w:r>
        <w:rPr>
          <w:rFonts w:ascii="仿宋_GB2312" w:hAnsi="Calibri" w:eastAsia="仿宋_GB2312" w:cs="Calibri"/>
          <w:sz w:val="28"/>
          <w:szCs w:val="28"/>
        </w:rPr>
        <w:t xml:space="preserve"> </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在自我检测的同时，每组选一名代表，上台板演或抽查各个不同层次学生，教师观察学生做题情况，了解自学情况。同时让学生讲解，其余学生点评。</w:t>
      </w:r>
      <w:r>
        <w:rPr>
          <w:rFonts w:ascii="仿宋_GB2312" w:hAnsi="Calibri" w:eastAsia="仿宋_GB2312" w:cs="Calibri"/>
          <w:sz w:val="28"/>
          <w:szCs w:val="28"/>
        </w:rPr>
        <w:t xml:space="preserve"> </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（4）教师引导、点拨，化疑解难。</w:t>
      </w:r>
      <w:r>
        <w:rPr>
          <w:rFonts w:ascii="仿宋_GB2312" w:hAnsi="Calibri" w:eastAsia="仿宋_GB2312" w:cs="Calibri"/>
          <w:sz w:val="28"/>
          <w:szCs w:val="28"/>
        </w:rPr>
        <w:t xml:space="preserve"> </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当检测完后，发现一些共性问题，教师进行引导、点拨，教师要点在关键处，引在困惑处，让学生有一种恍然大悟、豁然开朗之感。</w:t>
      </w:r>
      <w:r>
        <w:rPr>
          <w:rFonts w:ascii="仿宋_GB2312" w:hAnsi="Calibri" w:eastAsia="仿宋_GB2312" w:cs="Calibri"/>
          <w:sz w:val="28"/>
          <w:szCs w:val="28"/>
        </w:rPr>
        <w:t xml:space="preserve"> </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（5）分层训练，使各类学生都得到提高。</w:t>
      </w:r>
      <w:r>
        <w:rPr>
          <w:rFonts w:ascii="仿宋_GB2312" w:hAnsi="Calibri" w:eastAsia="仿宋_GB2312" w:cs="Calibri"/>
          <w:sz w:val="28"/>
          <w:szCs w:val="28"/>
        </w:rPr>
        <w:t xml:space="preserve"> </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分不同层次进行练习，了解情况，使各个层次的学生均有不同层次的提高。</w:t>
      </w:r>
    </w:p>
    <w:p>
      <w:pPr>
        <w:keepNext/>
        <w:keepLines/>
        <w:widowControl/>
        <w:spacing w:before="190" w:beforeLines="50" w:after="190" w:afterLines="50" w:line="500" w:lineRule="exact"/>
        <w:jc w:val="left"/>
        <w:outlineLvl w:val="2"/>
        <w:rPr>
          <w:rFonts w:ascii="仿宋" w:hAnsi="Calibri" w:eastAsia="黑体"/>
          <w:b/>
          <w:bCs/>
          <w:sz w:val="30"/>
          <w:szCs w:val="32"/>
        </w:rPr>
      </w:pPr>
      <w:r>
        <w:rPr>
          <w:rFonts w:hint="eastAsia" w:ascii="仿宋" w:hAnsi="仿宋" w:eastAsia="黑体"/>
          <w:b/>
          <w:bCs/>
          <w:sz w:val="30"/>
          <w:szCs w:val="32"/>
        </w:rPr>
        <w:t>8、小组合作学习教学法</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是以合作学习小组为基本形式，系统利用教学中动态因素之间的互动，促进学生的学习，以团体的成绩为评价标准，共同达成教学目标的教学活动。实施“小组合作学习</w:t>
      </w:r>
      <w:r>
        <w:rPr>
          <w:rFonts w:hint="eastAsia" w:ascii="仿宋" w:hAnsi="Calibri" w:eastAsia="仿宋" w:cs="Times New Roman"/>
          <w:sz w:val="28"/>
          <w:szCs w:val="28"/>
        </w:rPr>
        <w:t>”</w:t>
      </w:r>
      <w:r>
        <w:rPr>
          <w:rFonts w:hint="eastAsia" w:ascii="仿宋_GB2312" w:hAnsi="Calibri" w:eastAsia="仿宋_GB2312" w:cs="Times New Roman"/>
          <w:sz w:val="28"/>
          <w:szCs w:val="28"/>
        </w:rPr>
        <w:t>的教学过程：把全班学生按“组内异质、组间同质</w:t>
      </w:r>
      <w:r>
        <w:rPr>
          <w:rFonts w:hint="eastAsia" w:ascii="仿宋" w:hAnsi="Calibri" w:eastAsia="仿宋" w:cs="Times New Roman"/>
          <w:sz w:val="28"/>
          <w:szCs w:val="28"/>
        </w:rPr>
        <w:t>”</w:t>
      </w:r>
      <w:r>
        <w:rPr>
          <w:rFonts w:hint="eastAsia" w:ascii="仿宋_GB2312" w:hAnsi="Calibri" w:eastAsia="仿宋_GB2312" w:cs="Times New Roman"/>
          <w:sz w:val="28"/>
          <w:szCs w:val="28"/>
        </w:rPr>
        <w:t>的原则，根据性别比例、兴趣倾向、学习水准、交往技能、守纪情况等合理搭配，分成学习小组，按长方形围坐，以便启发引导之后，学生面对面地进行小组讨论。小组人员分工及分工标准，根据每个人的特长不同进行不同的分工。善于组织活动的学生为组长；善于记录的学生为记录员；善于表达的学生为中心发言人。为了让每一名学生都得到锻炼，定期轮换主发言人，每人都有发言的机会，在主发言人表达之后，如有遗漏，中心发言人可以补充。小组合作学习中教师的角色定位。教师是全班小组合作学习的组织者和掌控者；是组内研讨的参与者；是小组研讨的引导者。在此教学法运用过程中要注意指学结合、问疑结合、知识方法结合。</w:t>
      </w:r>
    </w:p>
    <w:p>
      <w:pPr>
        <w:keepNext/>
        <w:keepLines/>
        <w:widowControl/>
        <w:spacing w:before="190" w:beforeLines="50" w:after="190" w:afterLines="50" w:line="500" w:lineRule="exact"/>
        <w:jc w:val="left"/>
        <w:outlineLvl w:val="1"/>
        <w:rPr>
          <w:rFonts w:ascii="仿宋" w:hAnsi="黑体" w:eastAsia="黑体" w:cstheme="majorBidi"/>
          <w:b/>
          <w:bCs/>
          <w:sz w:val="30"/>
          <w:szCs w:val="32"/>
        </w:rPr>
      </w:pPr>
      <w:bookmarkStart w:id="162" w:name="_Toc40343084"/>
      <w:bookmarkEnd w:id="162"/>
      <w:bookmarkStart w:id="163" w:name="_Toc40345228"/>
      <w:bookmarkEnd w:id="163"/>
      <w:bookmarkStart w:id="164" w:name="_Toc86244996"/>
      <w:bookmarkEnd w:id="164"/>
      <w:bookmarkStart w:id="165" w:name="_Toc89266118"/>
      <w:bookmarkStart w:id="166" w:name="_Toc29357"/>
      <w:r>
        <w:rPr>
          <w:rFonts w:hint="eastAsia" w:ascii="仿宋" w:hAnsi="仿宋" w:eastAsia="黑体" w:cstheme="majorBidi"/>
          <w:b/>
          <w:bCs/>
          <w:sz w:val="30"/>
          <w:szCs w:val="32"/>
        </w:rPr>
        <w:t>（五）学习评价</w:t>
      </w:r>
      <w:bookmarkEnd w:id="165"/>
      <w:bookmarkEnd w:id="166"/>
    </w:p>
    <w:p>
      <w:pPr>
        <w:keepNext/>
        <w:keepLines/>
        <w:widowControl/>
        <w:spacing w:before="190" w:beforeLines="50" w:after="190" w:afterLines="50" w:line="500" w:lineRule="exact"/>
        <w:jc w:val="left"/>
        <w:outlineLvl w:val="2"/>
        <w:rPr>
          <w:rFonts w:ascii="仿宋" w:hAnsi="仿宋" w:eastAsia="黑体"/>
          <w:b/>
          <w:bCs/>
          <w:sz w:val="30"/>
          <w:szCs w:val="32"/>
        </w:rPr>
      </w:pPr>
      <w:bookmarkStart w:id="167" w:name="_Toc40345229"/>
      <w:bookmarkEnd w:id="167"/>
      <w:r>
        <w:rPr>
          <w:rFonts w:hint="eastAsia" w:ascii="仿宋" w:hAnsi="仿宋" w:eastAsia="黑体"/>
          <w:b/>
          <w:bCs/>
          <w:sz w:val="30"/>
          <w:szCs w:val="32"/>
        </w:rPr>
        <w:t>1、学生学业评价</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（1）评价对象：</w:t>
      </w:r>
      <w:r>
        <w:rPr>
          <w:rFonts w:hint="eastAsia" w:ascii="仿宋_GB2312" w:hAnsi="Calibri" w:eastAsia="仿宋_GB2312" w:cs="Times New Roman"/>
          <w:sz w:val="28"/>
          <w:szCs w:val="28"/>
          <w:lang w:val="en-US" w:eastAsia="zh-CN"/>
        </w:rPr>
        <w:t>会计事务</w:t>
      </w:r>
      <w:r>
        <w:rPr>
          <w:rFonts w:hint="eastAsia" w:ascii="仿宋_GB2312" w:hAnsi="Calibri" w:eastAsia="仿宋_GB2312" w:cs="Times New Roman"/>
          <w:sz w:val="28"/>
          <w:szCs w:val="28"/>
        </w:rPr>
        <w:t>专业高一至高三学生；</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（2）考评团队：建立由学生、学校、企业的“多元化”信息评价团队；</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（3）考评分值及等级：以A、B、C、D四个等级呈现</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（4）考评方法；各不同性质班级构建考评指标，联合教务处与招生就业处搭建考核平台，用信息化的手段实现教学质量提升。</w:t>
      </w:r>
    </w:p>
    <w:p>
      <w:pPr>
        <w:keepNext/>
        <w:keepLines/>
        <w:widowControl/>
        <w:spacing w:before="190" w:beforeLines="50" w:after="190" w:afterLines="50" w:line="500" w:lineRule="exact"/>
        <w:jc w:val="left"/>
        <w:outlineLvl w:val="2"/>
        <w:rPr>
          <w:rFonts w:ascii="仿宋" w:hAnsi="仿宋" w:eastAsia="黑体"/>
          <w:b/>
          <w:bCs/>
          <w:sz w:val="30"/>
          <w:szCs w:val="32"/>
        </w:rPr>
      </w:pPr>
      <w:bookmarkStart w:id="168" w:name="_Toc40345230"/>
      <w:bookmarkEnd w:id="168"/>
      <w:r>
        <w:rPr>
          <w:rFonts w:hint="eastAsia" w:ascii="仿宋" w:hAnsi="仿宋" w:eastAsia="黑体"/>
          <w:b/>
          <w:bCs/>
          <w:sz w:val="30"/>
          <w:szCs w:val="32"/>
        </w:rPr>
        <w:t>2、考评以及自我评价</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（1）考评组织与实施:考取</w:t>
      </w:r>
      <w:r>
        <w:rPr>
          <w:rFonts w:hint="eastAsia" w:ascii="仿宋_GB2312" w:hAnsi="Calibri" w:eastAsia="仿宋_GB2312" w:cs="Times New Roman"/>
          <w:sz w:val="28"/>
          <w:szCs w:val="28"/>
          <w:lang w:val="en-US" w:eastAsia="zh-CN"/>
        </w:rPr>
        <w:t>业财一体信息化</w:t>
      </w:r>
      <w:r>
        <w:rPr>
          <w:rFonts w:hint="eastAsia" w:ascii="仿宋_GB2312" w:hAnsi="Calibri" w:eastAsia="仿宋_GB2312" w:cs="Times New Roman"/>
          <w:sz w:val="28"/>
          <w:szCs w:val="28"/>
        </w:rPr>
        <w:t>1+X职业技能等级（初级）证书、</w:t>
      </w:r>
      <w:r>
        <w:rPr>
          <w:rFonts w:hint="eastAsia" w:ascii="仿宋_GB2312" w:hAnsi="Calibri" w:eastAsia="仿宋_GB2312" w:cs="Times New Roman"/>
          <w:sz w:val="28"/>
          <w:szCs w:val="28"/>
          <w:lang w:val="en-US" w:eastAsia="zh-CN"/>
        </w:rPr>
        <w:t>业财一体信息化</w:t>
      </w:r>
      <w:r>
        <w:rPr>
          <w:rFonts w:hint="eastAsia" w:ascii="仿宋_GB2312" w:hAnsi="Calibri" w:eastAsia="仿宋_GB2312" w:cs="Times New Roman"/>
          <w:sz w:val="28"/>
          <w:szCs w:val="28"/>
        </w:rPr>
        <w:t>1+X职业技能等级（</w:t>
      </w:r>
      <w:r>
        <w:rPr>
          <w:rFonts w:hint="eastAsia" w:ascii="仿宋_GB2312" w:hAnsi="Calibri" w:eastAsia="仿宋_GB2312" w:cs="Times New Roman"/>
          <w:sz w:val="28"/>
          <w:szCs w:val="28"/>
          <w:lang w:val="en-US" w:eastAsia="zh-CN"/>
        </w:rPr>
        <w:t>中</w:t>
      </w:r>
      <w:r>
        <w:rPr>
          <w:rFonts w:hint="eastAsia" w:ascii="仿宋_GB2312" w:hAnsi="Calibri" w:eastAsia="仿宋_GB2312" w:cs="Times New Roman"/>
          <w:sz w:val="28"/>
          <w:szCs w:val="28"/>
        </w:rPr>
        <w:t>级）证书、普通话等级证书、计算机等级证书等。</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（2）表现性评价：适用非学业评价，检查学生探究、语言应用能力、创新和实践能力。</w:t>
      </w:r>
    </w:p>
    <w:p>
      <w:pPr>
        <w:keepNext/>
        <w:keepLines/>
        <w:widowControl/>
        <w:spacing w:before="190" w:beforeLines="50" w:after="190" w:afterLines="50" w:line="500" w:lineRule="exact"/>
        <w:jc w:val="left"/>
        <w:outlineLvl w:val="2"/>
        <w:rPr>
          <w:rFonts w:ascii="仿宋" w:hAnsi="仿宋" w:eastAsia="黑体"/>
          <w:b/>
          <w:bCs/>
          <w:sz w:val="30"/>
          <w:szCs w:val="32"/>
        </w:rPr>
      </w:pPr>
      <w:bookmarkStart w:id="169" w:name="_Toc40345231"/>
      <w:bookmarkEnd w:id="169"/>
      <w:r>
        <w:rPr>
          <w:rFonts w:hint="eastAsia" w:ascii="仿宋" w:hAnsi="仿宋" w:eastAsia="黑体"/>
          <w:b/>
          <w:bCs/>
          <w:sz w:val="30"/>
          <w:szCs w:val="32"/>
        </w:rPr>
        <w:t>3、学生考核结果应用</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（1）考核结果记入学生个人档案，纳入期末考核奖项之中，作为评优评先、年度考核、国家助学金、奖学金申请的重要依据之一。</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（2）学生学习考评未达到优秀的，年度考核不得评为优秀等级；未达到及格的，需配合教务处开展补考。</w:t>
      </w:r>
    </w:p>
    <w:p>
      <w:pPr>
        <w:spacing w:line="400" w:lineRule="exact"/>
        <w:ind w:firstLine="560" w:firstLineChars="200"/>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rPr>
        <w:t>（3）综合素质考核优秀的学生，优先推荐考取</w:t>
      </w:r>
      <w:r>
        <w:rPr>
          <w:rFonts w:hint="eastAsia" w:ascii="仿宋_GB2312" w:hAnsi="Calibri" w:eastAsia="仿宋_GB2312" w:cs="Times New Roman"/>
          <w:sz w:val="28"/>
          <w:szCs w:val="28"/>
          <w:lang w:val="en-US" w:eastAsia="zh-CN"/>
        </w:rPr>
        <w:t>业财一体信息化</w:t>
      </w:r>
      <w:r>
        <w:rPr>
          <w:rFonts w:hint="eastAsia" w:ascii="仿宋_GB2312" w:hAnsi="Calibri" w:eastAsia="仿宋_GB2312" w:cs="Times New Roman"/>
          <w:sz w:val="28"/>
          <w:szCs w:val="28"/>
        </w:rPr>
        <w:t>1+X职业技能等级（初级）证书</w:t>
      </w:r>
      <w:r>
        <w:rPr>
          <w:rFonts w:hint="eastAsia" w:ascii="仿宋_GB2312" w:hAnsi="Calibri" w:eastAsia="仿宋_GB2312" w:cs="Times New Roman"/>
          <w:sz w:val="28"/>
          <w:szCs w:val="28"/>
          <w:lang w:eastAsia="zh-CN"/>
        </w:rPr>
        <w:t>。</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（4）综合素质考核优秀的学生，优先向优秀企业推荐工作。</w:t>
      </w:r>
    </w:p>
    <w:p>
      <w:pPr>
        <w:keepNext/>
        <w:keepLines/>
        <w:widowControl/>
        <w:spacing w:before="190" w:beforeLines="50" w:after="190" w:afterLines="50" w:line="500" w:lineRule="exact"/>
        <w:jc w:val="left"/>
        <w:outlineLvl w:val="1"/>
        <w:rPr>
          <w:rFonts w:ascii="仿宋" w:hAnsi="仿宋" w:eastAsia="黑体" w:cstheme="majorBidi"/>
          <w:b/>
          <w:bCs/>
          <w:sz w:val="30"/>
          <w:szCs w:val="32"/>
        </w:rPr>
      </w:pPr>
      <w:bookmarkStart w:id="170" w:name="_Toc40343085"/>
      <w:bookmarkEnd w:id="170"/>
      <w:bookmarkStart w:id="171" w:name="_Toc7962"/>
      <w:bookmarkEnd w:id="171"/>
      <w:bookmarkStart w:id="172" w:name="_Toc89266119"/>
      <w:bookmarkStart w:id="173" w:name="_Toc40345232"/>
      <w:r>
        <w:rPr>
          <w:rFonts w:hint="eastAsia" w:ascii="仿宋" w:hAnsi="仿宋" w:eastAsia="黑体" w:cstheme="majorBidi"/>
          <w:b/>
          <w:bCs/>
          <w:sz w:val="30"/>
          <w:szCs w:val="32"/>
        </w:rPr>
        <w:t>（六）质量管理</w:t>
      </w:r>
      <w:bookmarkEnd w:id="172"/>
      <w:bookmarkEnd w:id="173"/>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lang w:val="en-US" w:eastAsia="zh-CN"/>
        </w:rPr>
        <w:t>会计事务</w:t>
      </w:r>
      <w:r>
        <w:rPr>
          <w:rFonts w:hint="eastAsia" w:ascii="仿宋_GB2312" w:hAnsi="Calibri" w:eastAsia="仿宋_GB2312" w:cs="Times New Roman"/>
          <w:sz w:val="28"/>
          <w:szCs w:val="28"/>
        </w:rPr>
        <w:t>专业人才培养方案的实施，需要建立一套完整的质量监控体系，来评控实施效果。</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在学校质量监控领导小组的指导下，成立由专业建设负责人、学校教学管理人员、专业课教师、企业兼职教师等组成的人才培养方案实施质量管理工作小组，具体负责人才培养方案各环节质量管理的实施。</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通过收集教学信息、评估教学效果、诊断与更新教学过程的偏差等反馈信息对学校教学工作进行全过程、全方位的质量监督与控制，促进教学工作不断改进，保障和提高教学质量。</w:t>
      </w:r>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不仅通过学校内部的全员参与、全过程和全角度的监控，还要邀请企业、行业专家参与，对教学实施的过程进行校内、校外联动监控管理，发现问题及时反馈解决。</w:t>
      </w:r>
    </w:p>
    <w:p>
      <w:pPr>
        <w:keepNext/>
        <w:keepLines/>
        <w:widowControl/>
        <w:spacing w:before="190" w:beforeLines="50" w:after="190" w:afterLines="50" w:line="360" w:lineRule="auto"/>
        <w:outlineLvl w:val="0"/>
        <w:rPr>
          <w:rFonts w:ascii="仿宋" w:hAnsi="仿宋" w:eastAsia="黑体" w:cs="Times New Roman"/>
          <w:b/>
          <w:bCs/>
          <w:kern w:val="44"/>
          <w:sz w:val="32"/>
          <w:szCs w:val="44"/>
        </w:rPr>
      </w:pPr>
      <w:bookmarkStart w:id="174" w:name="_Toc5510"/>
      <w:bookmarkEnd w:id="174"/>
      <w:bookmarkStart w:id="175" w:name="_Toc86244997"/>
      <w:bookmarkEnd w:id="175"/>
      <w:bookmarkStart w:id="176" w:name="_Toc40345233"/>
      <w:bookmarkEnd w:id="176"/>
      <w:bookmarkStart w:id="177" w:name="_Toc89266120"/>
      <w:bookmarkStart w:id="178" w:name="_Toc40343086"/>
      <w:r>
        <w:rPr>
          <w:rFonts w:hint="eastAsia" w:ascii="仿宋" w:hAnsi="仿宋" w:eastAsia="黑体"/>
          <w:b/>
          <w:bCs/>
          <w:kern w:val="44"/>
          <w:sz w:val="32"/>
          <w:szCs w:val="44"/>
        </w:rPr>
        <w:t>九、毕业要求</w:t>
      </w:r>
      <w:bookmarkEnd w:id="177"/>
      <w:bookmarkEnd w:id="178"/>
    </w:p>
    <w:p>
      <w:pPr>
        <w:spacing w:line="4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学生通过三年的学习，须修满3168学时,180学分，完成规定的教学活动，获得至少一个职业技能证书，同时应在素质、知识和能力等方面达到以下要求：</w:t>
      </w:r>
    </w:p>
    <w:p>
      <w:pPr>
        <w:keepNext/>
        <w:keepLines/>
        <w:widowControl/>
        <w:spacing w:before="190" w:beforeLines="50" w:after="190" w:afterLines="50" w:line="500" w:lineRule="exact"/>
        <w:jc w:val="left"/>
        <w:outlineLvl w:val="1"/>
        <w:rPr>
          <w:rFonts w:ascii="仿宋" w:hAnsi="仿宋" w:eastAsia="黑体" w:cstheme="majorBidi"/>
          <w:b/>
          <w:bCs/>
          <w:sz w:val="30"/>
          <w:szCs w:val="32"/>
        </w:rPr>
      </w:pPr>
      <w:bookmarkStart w:id="179" w:name="_Toc86244998"/>
      <w:bookmarkEnd w:id="179"/>
      <w:bookmarkStart w:id="180" w:name="_Toc40345234"/>
      <w:bookmarkStart w:id="181" w:name="_Toc89266121"/>
      <w:r>
        <w:rPr>
          <w:rFonts w:ascii="仿宋_GB2312" w:hAnsi="黑体" w:eastAsia="仿宋_GB2312" w:cstheme="majorBidi"/>
          <w:b/>
          <w:bCs/>
          <w:kern w:val="44"/>
          <w:sz w:val="28"/>
          <w:szCs w:val="28"/>
        </w:rPr>
        <w:t>（一）</w:t>
      </w:r>
      <w:bookmarkEnd w:id="180"/>
      <w:r>
        <w:rPr>
          <w:rFonts w:hint="eastAsia" w:ascii="仿宋" w:hAnsi="仿宋" w:eastAsia="黑体" w:cstheme="majorBidi"/>
          <w:b/>
          <w:bCs/>
          <w:sz w:val="30"/>
          <w:szCs w:val="32"/>
        </w:rPr>
        <w:t>专业知识要求</w:t>
      </w:r>
      <w:bookmarkEnd w:id="181"/>
    </w:p>
    <w:p>
      <w:pPr>
        <w:pStyle w:val="47"/>
      </w:pPr>
      <w:bookmarkStart w:id="182" w:name="_Toc40345235"/>
      <w:bookmarkEnd w:id="182"/>
      <w:bookmarkStart w:id="183" w:name="_Toc89266122"/>
      <w:bookmarkStart w:id="184" w:name="_Toc86244999"/>
      <w:r>
        <w:rPr>
          <w:rFonts w:hint="eastAsia"/>
        </w:rPr>
        <w:t>1、具备必需的文化基础知识、人文社科知识与职业劳动法律法规等运用能力；</w:t>
      </w:r>
    </w:p>
    <w:p>
      <w:pPr>
        <w:pStyle w:val="47"/>
      </w:pPr>
      <w:r>
        <w:rPr>
          <w:rFonts w:hint="eastAsia"/>
        </w:rPr>
        <w:t>2、能描述与会计业务相关的法律、行业政策法规、标准化要求等内容；</w:t>
      </w:r>
    </w:p>
    <w:p>
      <w:pPr>
        <w:pStyle w:val="47"/>
      </w:pPr>
      <w:r>
        <w:rPr>
          <w:rFonts w:hint="eastAsia"/>
        </w:rPr>
        <w:t>3、具备会计基本核算技能；</w:t>
      </w:r>
    </w:p>
    <w:p>
      <w:pPr>
        <w:pStyle w:val="47"/>
      </w:pPr>
      <w:r>
        <w:rPr>
          <w:rFonts w:hint="eastAsia"/>
        </w:rPr>
        <w:t>4、具备财务管理与财务分析技能；</w:t>
      </w:r>
    </w:p>
    <w:p>
      <w:pPr>
        <w:pStyle w:val="47"/>
      </w:pPr>
      <w:r>
        <w:rPr>
          <w:rFonts w:hint="eastAsia"/>
        </w:rPr>
        <w:t>5、具备审计与评估技能；</w:t>
      </w:r>
    </w:p>
    <w:p>
      <w:pPr>
        <w:pStyle w:val="47"/>
      </w:pPr>
      <w:r>
        <w:rPr>
          <w:rFonts w:hint="eastAsia"/>
        </w:rPr>
        <w:t>6、具备办公自动化技能；</w:t>
      </w:r>
    </w:p>
    <w:p>
      <w:pPr>
        <w:pStyle w:val="47"/>
      </w:pPr>
      <w:r>
        <w:rPr>
          <w:rFonts w:hint="eastAsia"/>
        </w:rPr>
        <w:t>7、具备纳税技能；</w:t>
      </w:r>
    </w:p>
    <w:p>
      <w:pPr>
        <w:pStyle w:val="47"/>
      </w:pPr>
      <w:r>
        <w:rPr>
          <w:rFonts w:hint="eastAsia"/>
        </w:rPr>
        <w:t>8、具备电子商务处理业务技能；</w:t>
      </w:r>
    </w:p>
    <w:p>
      <w:pPr>
        <w:pStyle w:val="47"/>
      </w:pPr>
      <w:r>
        <w:rPr>
          <w:rFonts w:hint="eastAsia"/>
        </w:rPr>
        <w:t>9、具备计算机操作技能；</w:t>
      </w:r>
    </w:p>
    <w:p>
      <w:pPr>
        <w:pStyle w:val="47"/>
      </w:pPr>
      <w:r>
        <w:rPr>
          <w:rFonts w:hint="eastAsia"/>
        </w:rPr>
        <w:t>1</w:t>
      </w:r>
      <w:r>
        <w:t>0</w:t>
      </w:r>
      <w:r>
        <w:rPr>
          <w:rFonts w:hint="eastAsia"/>
        </w:rPr>
        <w:t>、具备企业财务核算技能；</w:t>
      </w:r>
    </w:p>
    <w:p>
      <w:pPr>
        <w:pStyle w:val="47"/>
      </w:pPr>
      <w:r>
        <w:rPr>
          <w:rFonts w:hint="eastAsia"/>
        </w:rPr>
        <w:t>1</w:t>
      </w:r>
      <w:r>
        <w:t>1</w:t>
      </w:r>
      <w:r>
        <w:rPr>
          <w:rFonts w:hint="eastAsia"/>
        </w:rPr>
        <w:t>、具备成本核算技能;</w:t>
      </w:r>
    </w:p>
    <w:p>
      <w:pPr>
        <w:pStyle w:val="47"/>
      </w:pPr>
      <w:r>
        <w:rPr>
          <w:rFonts w:hint="eastAsia"/>
        </w:rPr>
        <w:t>1</w:t>
      </w:r>
      <w:r>
        <w:t>2</w:t>
      </w:r>
      <w:r>
        <w:rPr>
          <w:rFonts w:hint="eastAsia"/>
        </w:rPr>
        <w:t>、具备计算机网络技能；</w:t>
      </w:r>
    </w:p>
    <w:p>
      <w:pPr>
        <w:keepNext/>
        <w:keepLines/>
        <w:widowControl/>
        <w:spacing w:before="190" w:beforeLines="50" w:after="190" w:afterLines="50" w:line="500" w:lineRule="exact"/>
        <w:jc w:val="left"/>
        <w:outlineLvl w:val="1"/>
        <w:rPr>
          <w:rFonts w:ascii="仿宋" w:hAnsi="仿宋" w:eastAsia="黑体" w:cstheme="majorBidi"/>
          <w:b/>
          <w:bCs/>
          <w:sz w:val="30"/>
          <w:szCs w:val="32"/>
        </w:rPr>
      </w:pPr>
      <w:r>
        <w:rPr>
          <w:rFonts w:hint="eastAsia" w:ascii="仿宋" w:hAnsi="仿宋" w:eastAsia="黑体" w:cstheme="majorBidi"/>
          <w:b/>
          <w:bCs/>
          <w:sz w:val="30"/>
          <w:szCs w:val="32"/>
        </w:rPr>
        <w:t>（二）专业能力要求</w:t>
      </w:r>
      <w:bookmarkEnd w:id="183"/>
      <w:bookmarkEnd w:id="184"/>
    </w:p>
    <w:p>
      <w:pPr>
        <w:pStyle w:val="47"/>
        <w:rPr>
          <w:rFonts w:hint="eastAsia"/>
        </w:rPr>
      </w:pPr>
      <w:bookmarkStart w:id="185" w:name="_Toc40345236"/>
      <w:bookmarkEnd w:id="185"/>
      <w:bookmarkStart w:id="186" w:name="_Toc89266123"/>
      <w:bookmarkStart w:id="187" w:name="_Toc86245000"/>
      <w:r>
        <w:rPr>
          <w:rFonts w:hint="eastAsia"/>
        </w:rPr>
        <w:t>1、能够完成资金收付；</w:t>
      </w:r>
    </w:p>
    <w:p>
      <w:pPr>
        <w:pStyle w:val="47"/>
        <w:rPr>
          <w:rFonts w:hint="eastAsia"/>
        </w:rPr>
      </w:pPr>
      <w:r>
        <w:rPr>
          <w:rFonts w:hint="eastAsia"/>
        </w:rPr>
        <w:t>2、能够完成资金、销售、应收项目核算；</w:t>
      </w:r>
    </w:p>
    <w:p>
      <w:pPr>
        <w:pStyle w:val="47"/>
        <w:rPr>
          <w:rFonts w:hint="eastAsia"/>
        </w:rPr>
      </w:pPr>
      <w:r>
        <w:rPr>
          <w:rFonts w:hint="eastAsia"/>
        </w:rPr>
        <w:t>3、能够完成固定资产、无形资产核算；</w:t>
      </w:r>
    </w:p>
    <w:p>
      <w:pPr>
        <w:pStyle w:val="47"/>
        <w:rPr>
          <w:rFonts w:hint="eastAsia"/>
        </w:rPr>
      </w:pPr>
      <w:r>
        <w:rPr>
          <w:rFonts w:hint="eastAsia"/>
        </w:rPr>
        <w:t>4、能够完成采购、库存商品、应付项目核算；</w:t>
      </w:r>
    </w:p>
    <w:p>
      <w:pPr>
        <w:pStyle w:val="47"/>
        <w:rPr>
          <w:rFonts w:hint="eastAsia"/>
        </w:rPr>
      </w:pPr>
      <w:r>
        <w:rPr>
          <w:rFonts w:hint="eastAsia"/>
        </w:rPr>
        <w:t>5、能够完成投资、费用、损益、所有者权益核算；</w:t>
      </w:r>
    </w:p>
    <w:p>
      <w:pPr>
        <w:pStyle w:val="47"/>
        <w:rPr>
          <w:rFonts w:hint="eastAsia"/>
        </w:rPr>
      </w:pPr>
      <w:r>
        <w:rPr>
          <w:rFonts w:hint="eastAsia"/>
        </w:rPr>
        <w:t>6、能够完成产品成本计算；</w:t>
      </w:r>
    </w:p>
    <w:p>
      <w:pPr>
        <w:pStyle w:val="47"/>
        <w:rPr>
          <w:rFonts w:hint="eastAsia"/>
        </w:rPr>
      </w:pPr>
      <w:r>
        <w:rPr>
          <w:rFonts w:hint="eastAsia"/>
        </w:rPr>
        <w:t>7、能够完成税务核算、报税；</w:t>
      </w:r>
    </w:p>
    <w:p>
      <w:pPr>
        <w:pStyle w:val="47"/>
        <w:rPr>
          <w:rFonts w:hint="eastAsia"/>
        </w:rPr>
      </w:pPr>
      <w:r>
        <w:rPr>
          <w:rFonts w:hint="eastAsia"/>
        </w:rPr>
        <w:t>8、能够进行审核、总账、报表、财务分析；</w:t>
      </w:r>
    </w:p>
    <w:p>
      <w:pPr>
        <w:keepNext/>
        <w:keepLines/>
        <w:widowControl/>
        <w:spacing w:before="190" w:beforeLines="50" w:after="190" w:afterLines="50" w:line="500" w:lineRule="exact"/>
        <w:jc w:val="left"/>
        <w:outlineLvl w:val="1"/>
        <w:rPr>
          <w:rFonts w:ascii="仿宋" w:hAnsi="仿宋" w:eastAsia="黑体" w:cstheme="majorBidi"/>
          <w:b/>
          <w:bCs/>
          <w:sz w:val="30"/>
          <w:szCs w:val="32"/>
        </w:rPr>
      </w:pPr>
      <w:r>
        <w:rPr>
          <w:rFonts w:hint="eastAsia" w:ascii="仿宋" w:hAnsi="仿宋" w:eastAsia="黑体" w:cstheme="majorBidi"/>
          <w:b/>
          <w:bCs/>
          <w:sz w:val="30"/>
          <w:szCs w:val="32"/>
        </w:rPr>
        <w:t>（三）素质能力要求</w:t>
      </w:r>
      <w:bookmarkEnd w:id="186"/>
      <w:bookmarkEnd w:id="187"/>
    </w:p>
    <w:p>
      <w:pPr>
        <w:keepNext/>
        <w:keepLines/>
        <w:widowControl/>
        <w:spacing w:before="190" w:beforeLines="50" w:after="190" w:afterLines="50" w:line="500" w:lineRule="exact"/>
        <w:jc w:val="left"/>
        <w:outlineLvl w:val="2"/>
        <w:rPr>
          <w:rFonts w:ascii="仿宋" w:hAnsi="仿宋" w:eastAsia="黑体"/>
          <w:b/>
          <w:bCs/>
          <w:sz w:val="30"/>
          <w:szCs w:val="32"/>
        </w:rPr>
      </w:pPr>
      <w:r>
        <w:rPr>
          <w:rFonts w:hint="eastAsia" w:ascii="仿宋" w:hAnsi="仿宋" w:eastAsia="黑体"/>
          <w:b/>
          <w:bCs/>
          <w:sz w:val="30"/>
          <w:szCs w:val="32"/>
        </w:rPr>
        <w:t>1、方法能力</w:t>
      </w:r>
    </w:p>
    <w:p>
      <w:pPr>
        <w:pStyle w:val="47"/>
      </w:pPr>
      <w:r>
        <w:rPr>
          <w:rFonts w:hint="eastAsia"/>
        </w:rPr>
        <w:t>（1）能够按照相关的法律法规办理主要会计业务；</w:t>
      </w:r>
    </w:p>
    <w:p>
      <w:pPr>
        <w:pStyle w:val="47"/>
      </w:pPr>
      <w:r>
        <w:rPr>
          <w:rFonts w:hint="eastAsia"/>
        </w:rPr>
        <w:t>（2）能够熟练操作会计管理软件，进行会计信息收集、分类、处理及发布等，具备与会计相关的汇总统计数据的能力；</w:t>
      </w:r>
    </w:p>
    <w:p>
      <w:pPr>
        <w:pStyle w:val="47"/>
      </w:pPr>
      <w:r>
        <w:rPr>
          <w:rFonts w:hint="eastAsia"/>
        </w:rPr>
        <w:t>（3）能够操作常见的会计信息设备及信息系统；</w:t>
      </w:r>
      <w:r>
        <w:t xml:space="preserve"> </w:t>
      </w:r>
    </w:p>
    <w:p>
      <w:pPr>
        <w:pStyle w:val="47"/>
      </w:pPr>
      <w:r>
        <w:rPr>
          <w:rFonts w:hint="eastAsia"/>
        </w:rPr>
        <w:t>（4）掌握</w:t>
      </w:r>
      <w:r>
        <w:t>出纳、开票、手工会计核算</w:t>
      </w:r>
      <w:r>
        <w:rPr>
          <w:rFonts w:hint="eastAsia"/>
        </w:rPr>
        <w:t>工作技能；</w:t>
      </w:r>
    </w:p>
    <w:p>
      <w:pPr>
        <w:pStyle w:val="47"/>
      </w:pPr>
      <w:r>
        <w:rPr>
          <w:rFonts w:hint="eastAsia"/>
        </w:rPr>
        <w:t>（5）能够</w:t>
      </w:r>
      <w:r>
        <w:t>能够将企业发生的经济业务真实、完整地记入会计账并编制会计报表</w:t>
      </w:r>
      <w:r>
        <w:rPr>
          <w:rFonts w:hint="eastAsia"/>
        </w:rPr>
        <w:t>；</w:t>
      </w:r>
    </w:p>
    <w:p>
      <w:pPr>
        <w:pStyle w:val="47"/>
      </w:pPr>
      <w:r>
        <w:rPr>
          <w:rFonts w:hint="eastAsia"/>
        </w:rPr>
        <w:t>（6）</w:t>
      </w:r>
      <w:r>
        <w:t>能够在财务 处理过程中按手工流程或电算要求完成整个会计循环</w:t>
      </w:r>
    </w:p>
    <w:p>
      <w:pPr>
        <w:pStyle w:val="47"/>
      </w:pPr>
      <w:r>
        <w:rPr>
          <w:rFonts w:hint="eastAsia"/>
        </w:rPr>
        <w:t>（7）</w:t>
      </w:r>
      <w:r>
        <w:t>具有一定的财务报表分析能力、电算系统的架构能力和 基本理财能力</w:t>
      </w:r>
    </w:p>
    <w:p>
      <w:pPr>
        <w:pStyle w:val="47"/>
      </w:pPr>
      <w:r>
        <w:rPr>
          <w:rFonts w:hint="eastAsia"/>
        </w:rPr>
        <w:t>（8）具备</w:t>
      </w:r>
      <w:r>
        <w:t>: 提取信息的能力; 触类旁通的能力; 获取新知 识的能力; 学习中发现问题、分析问题以及归纳总结的能力。</w:t>
      </w:r>
    </w:p>
    <w:p>
      <w:pPr>
        <w:keepNext/>
        <w:keepLines/>
        <w:widowControl/>
        <w:spacing w:before="190" w:beforeLines="50" w:after="190" w:afterLines="50" w:line="500" w:lineRule="exact"/>
        <w:jc w:val="left"/>
        <w:outlineLvl w:val="2"/>
        <w:rPr>
          <w:rFonts w:ascii="仿宋" w:hAnsi="仿宋" w:eastAsia="黑体"/>
          <w:b/>
          <w:bCs/>
          <w:sz w:val="30"/>
          <w:szCs w:val="32"/>
        </w:rPr>
      </w:pPr>
      <w:r>
        <w:rPr>
          <w:rFonts w:hint="eastAsia" w:ascii="仿宋" w:hAnsi="仿宋" w:eastAsia="黑体"/>
          <w:b/>
          <w:bCs/>
          <w:sz w:val="30"/>
          <w:szCs w:val="32"/>
        </w:rPr>
        <w:t>2、社会能力要求</w:t>
      </w:r>
    </w:p>
    <w:p>
      <w:pPr>
        <w:pStyle w:val="47"/>
      </w:pPr>
      <w:r>
        <w:rPr>
          <w:rFonts w:hint="eastAsia"/>
        </w:rPr>
        <w:t>（1）能够总结、推导出初步的结论；能将信息口头传达给别人，让别人“明确无误”地理解；</w:t>
      </w:r>
    </w:p>
    <w:p>
      <w:pPr>
        <w:pStyle w:val="47"/>
      </w:pPr>
      <w:r>
        <w:rPr>
          <w:rFonts w:hint="eastAsia"/>
        </w:rPr>
        <w:t xml:space="preserve">（2）能够总结、推导出初步的结论；能够对简单的文章进行阅读、标记、总结并用简单的手段进行视图化；              </w:t>
      </w:r>
    </w:p>
    <w:p>
      <w:pPr>
        <w:pStyle w:val="47"/>
      </w:pPr>
      <w:r>
        <w:rPr>
          <w:rFonts w:hint="eastAsia"/>
        </w:rPr>
        <w:t xml:space="preserve">（3）能认真倾听要求并很好的表达自己的想法，团队协作完成任务；  </w:t>
      </w:r>
    </w:p>
    <w:p>
      <w:pPr>
        <w:pStyle w:val="47"/>
      </w:pPr>
      <w:r>
        <w:rPr>
          <w:rFonts w:hint="eastAsia"/>
        </w:rPr>
        <w:t>（4）能够独立计划、组织、决策、归纳进行核算工作;</w:t>
      </w:r>
    </w:p>
    <w:p>
      <w:pPr>
        <w:pStyle w:val="47"/>
      </w:pPr>
      <w:r>
        <w:rPr>
          <w:rFonts w:hint="eastAsia"/>
        </w:rPr>
        <w:t>（5）坚</w:t>
      </w:r>
      <w:r>
        <w:t>工作任务要求, 完成工作任务的能力; 工作中发现问题、分析问题、解决问题的能力; 团队合作能力; 适应环境和协调能力。</w:t>
      </w:r>
      <w:r>
        <w:rPr>
          <w:rFonts w:hint="eastAsia"/>
        </w:rPr>
        <w:t>；</w:t>
      </w:r>
    </w:p>
    <w:p>
      <w:pPr>
        <w:pStyle w:val="47"/>
      </w:pPr>
      <w:r>
        <w:rPr>
          <w:rFonts w:hint="eastAsia"/>
        </w:rPr>
        <w:t>（6）</w:t>
      </w:r>
      <w:r>
        <w:t>学习中能提出 不同见解的能力; 工作中能提出多种解决问题的思路、完 成任务的方案和途径等方面的能力</w:t>
      </w:r>
      <w:r>
        <w:rPr>
          <w:rFonts w:hint="eastAsia"/>
        </w:rPr>
        <w:t>；</w:t>
      </w:r>
    </w:p>
    <w:p>
      <w:pPr>
        <w:pStyle w:val="47"/>
      </w:pPr>
      <w:r>
        <w:rPr>
          <w:rFonts w:hint="eastAsia"/>
        </w:rPr>
        <w:t>（7）提高团队计划解决方案能力，表达沟通提高团队协作力。具有法律行为意识；</w:t>
      </w:r>
    </w:p>
    <w:p>
      <w:pPr>
        <w:pStyle w:val="47"/>
      </w:pPr>
      <w:r>
        <w:rPr>
          <w:rFonts w:hint="eastAsia"/>
        </w:rPr>
        <w:t>（</w:t>
      </w:r>
      <w:r>
        <w:t>8</w:t>
      </w:r>
      <w:r>
        <w:rPr>
          <w:rFonts w:hint="eastAsia"/>
        </w:rPr>
        <w:t>）能够运用会计营销的基本技巧，进行简单的会计市场开发和会计服务产品的市场调查，具有良好的语言表达、商务沟通能力；</w:t>
      </w:r>
    </w:p>
    <w:p>
      <w:pPr>
        <w:pStyle w:val="47"/>
      </w:pPr>
      <w:r>
        <w:rPr>
          <w:rFonts w:hint="eastAsia"/>
        </w:rPr>
        <w:t>（</w:t>
      </w:r>
      <w:r>
        <w:t>9</w:t>
      </w:r>
      <w:r>
        <w:rPr>
          <w:rFonts w:hint="eastAsia"/>
        </w:rPr>
        <w:t>）具有良好的思想道德修养、爱岗敬业的职业精神，健康的身体和心理素质，爱国守法，忠于职守；</w:t>
      </w:r>
    </w:p>
    <w:p>
      <w:pPr>
        <w:pStyle w:val="47"/>
      </w:pPr>
      <w:r>
        <w:rPr>
          <w:rFonts w:hint="eastAsia"/>
        </w:rPr>
        <w:t>（1</w:t>
      </w:r>
      <w:r>
        <w:t>0</w:t>
      </w:r>
      <w:r>
        <w:rPr>
          <w:rFonts w:hint="eastAsia"/>
        </w:rPr>
        <w:t>）能够运用会计营销的基本技巧，进行简单的会计市场开发和会计服务产品的市场调查，具有良好的语言表达、商务沟通能力。</w:t>
      </w:r>
    </w:p>
    <w:p>
      <w:pPr>
        <w:widowControl/>
        <w:spacing w:line="360" w:lineRule="auto"/>
        <w:ind w:firstLine="560" w:firstLineChars="200"/>
        <w:jc w:val="left"/>
        <w:rPr>
          <w:rFonts w:ascii="仿宋_GB2312" w:eastAsia="仿宋_GB2312"/>
          <w:sz w:val="28"/>
          <w:szCs w:val="28"/>
        </w:rPr>
      </w:pPr>
      <w:r>
        <w:rPr>
          <w:rFonts w:ascii="仿宋_GB2312" w:eastAsia="仿宋_GB2312"/>
          <w:sz w:val="28"/>
          <w:szCs w:val="28"/>
        </w:rPr>
        <w:br w:type="page"/>
      </w:r>
    </w:p>
    <w:p>
      <w:pPr>
        <w:keepNext/>
        <w:keepLines/>
        <w:widowControl/>
        <w:spacing w:before="190" w:beforeLines="50" w:after="190" w:afterLines="50" w:line="500" w:lineRule="exact"/>
        <w:jc w:val="left"/>
        <w:outlineLvl w:val="0"/>
        <w:rPr>
          <w:rFonts w:ascii="Calibri" w:hAnsi="仿宋" w:eastAsia="黑体"/>
          <w:b/>
          <w:bCs/>
          <w:kern w:val="44"/>
          <w:sz w:val="32"/>
          <w:szCs w:val="44"/>
        </w:rPr>
      </w:pPr>
      <w:bookmarkStart w:id="188" w:name="_Toc1177"/>
      <w:bookmarkEnd w:id="188"/>
      <w:bookmarkStart w:id="189" w:name="_Toc40345237"/>
      <w:bookmarkEnd w:id="189"/>
      <w:bookmarkStart w:id="190" w:name="_Toc86245001"/>
      <w:bookmarkEnd w:id="190"/>
      <w:bookmarkStart w:id="191" w:name="_Toc40343087"/>
      <w:bookmarkStart w:id="192" w:name="_Toc89266124"/>
      <w:r>
        <w:rPr>
          <w:rFonts w:hint="eastAsia" w:ascii="仿宋" w:hAnsi="仿宋" w:eastAsia="黑体"/>
          <w:b/>
          <w:bCs/>
          <w:kern w:val="44"/>
          <w:sz w:val="32"/>
          <w:szCs w:val="44"/>
        </w:rPr>
        <w:t>十、附录</w:t>
      </w:r>
      <w:bookmarkEnd w:id="191"/>
      <w:bookmarkEnd w:id="192"/>
    </w:p>
    <w:p>
      <w:pPr>
        <w:keepNext/>
        <w:keepLines/>
        <w:widowControl/>
        <w:spacing w:before="190" w:beforeLines="50" w:after="190" w:afterLines="50" w:line="500" w:lineRule="exact"/>
        <w:jc w:val="left"/>
        <w:outlineLvl w:val="1"/>
        <w:rPr>
          <w:rFonts w:ascii="仿宋" w:hAnsi="仿宋" w:eastAsia="黑体" w:cstheme="majorBidi"/>
          <w:b/>
          <w:bCs/>
          <w:sz w:val="30"/>
          <w:szCs w:val="30"/>
        </w:rPr>
      </w:pPr>
      <w:bookmarkStart w:id="193" w:name="_Toc40345238"/>
      <w:bookmarkEnd w:id="193"/>
      <w:bookmarkStart w:id="194" w:name="_Toc86245002"/>
      <w:bookmarkStart w:id="195" w:name="_Toc89266125"/>
      <w:r>
        <w:rPr>
          <w:rFonts w:hint="eastAsia" w:ascii="仿宋" w:hAnsi="仿宋" w:eastAsia="黑体" w:cstheme="majorBidi"/>
          <w:b/>
          <w:bCs/>
          <w:sz w:val="30"/>
          <w:szCs w:val="32"/>
        </w:rPr>
        <w:t>附件</w:t>
      </w:r>
      <w:bookmarkEnd w:id="194"/>
      <w:r>
        <w:rPr>
          <w:rFonts w:hint="eastAsia" w:ascii="仿宋" w:hAnsi="仿宋" w:eastAsia="黑体" w:cstheme="majorBidi"/>
          <w:b/>
          <w:bCs/>
          <w:sz w:val="30"/>
          <w:szCs w:val="32"/>
        </w:rPr>
        <w:t>：教学执行计划变更申请审批表</w:t>
      </w:r>
      <w:bookmarkEnd w:id="195"/>
    </w:p>
    <w:p>
      <w:pPr>
        <w:spacing w:line="360" w:lineRule="auto"/>
        <w:ind w:firstLine="643" w:firstLineChars="200"/>
        <w:jc w:val="center"/>
        <w:rPr>
          <w:rFonts w:ascii="Times New Roman" w:hAnsi="Times New Roman" w:eastAsia="仿宋_GB2312"/>
          <w:b/>
          <w:bCs/>
          <w:sz w:val="32"/>
          <w:szCs w:val="32"/>
        </w:rPr>
      </w:pPr>
      <w:r>
        <w:rPr>
          <w:rFonts w:hint="eastAsia" w:ascii="宋体" w:hAnsi="宋体" w:eastAsia="仿宋_GB2312"/>
          <w:b/>
          <w:bCs/>
          <w:sz w:val="32"/>
          <w:szCs w:val="32"/>
        </w:rPr>
        <w:t>教学执行计划变更申请审批表</w:t>
      </w:r>
    </w:p>
    <w:p>
      <w:pPr>
        <w:spacing w:line="360" w:lineRule="auto"/>
        <w:ind w:firstLine="643" w:firstLineChars="200"/>
        <w:jc w:val="center"/>
        <w:rPr>
          <w:rFonts w:ascii="Times New Roman" w:hAnsi="Times New Roman" w:eastAsia="仿宋_GB2312"/>
          <w:b/>
          <w:bCs/>
          <w:sz w:val="32"/>
          <w:szCs w:val="32"/>
        </w:rPr>
      </w:pPr>
      <w:r>
        <w:rPr>
          <w:rFonts w:ascii="Times New Roman" w:hAnsi="Times New Roman" w:eastAsia="仿宋_GB2312"/>
          <w:b/>
          <w:bCs/>
          <w:sz w:val="32"/>
          <w:szCs w:val="32"/>
        </w:rPr>
        <w:t>20</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sz w:val="32"/>
          <w:szCs w:val="32"/>
        </w:rPr>
        <w:t>—</w:t>
      </w:r>
      <w:r>
        <w:rPr>
          <w:rFonts w:ascii="Times New Roman" w:hAnsi="Times New Roman" w:eastAsia="仿宋_GB2312"/>
          <w:b/>
          <w:bCs/>
          <w:sz w:val="32"/>
          <w:szCs w:val="32"/>
        </w:rPr>
        <w:t>20</w:t>
      </w:r>
      <w:r>
        <w:rPr>
          <w:rFonts w:hint="eastAsia" w:ascii="Times New Roman" w:hAnsi="Times New Roman" w:eastAsia="仿宋_GB2312"/>
          <w:b/>
          <w:bCs/>
          <w:sz w:val="32"/>
          <w:szCs w:val="32"/>
          <w:u w:val="single"/>
        </w:rPr>
        <w:t xml:space="preserve">  </w:t>
      </w:r>
      <w:r>
        <w:rPr>
          <w:rFonts w:hint="eastAsia" w:ascii="宋体" w:hAnsi="宋体" w:eastAsia="仿宋_GB2312"/>
          <w:b/>
          <w:bCs/>
          <w:sz w:val="32"/>
          <w:szCs w:val="32"/>
        </w:rPr>
        <w:t>学年第</w:t>
      </w:r>
      <w:r>
        <w:rPr>
          <w:rFonts w:hint="eastAsia" w:ascii="Times New Roman" w:hAnsi="Times New Roman" w:eastAsia="仿宋_GB2312"/>
          <w:b/>
          <w:bCs/>
          <w:sz w:val="32"/>
          <w:szCs w:val="32"/>
          <w:u w:val="single"/>
        </w:rPr>
        <w:t xml:space="preserve">   </w:t>
      </w:r>
      <w:r>
        <w:rPr>
          <w:rFonts w:hint="eastAsia" w:ascii="宋体" w:hAnsi="宋体" w:eastAsia="仿宋_GB2312"/>
          <w:b/>
          <w:bCs/>
          <w:sz w:val="32"/>
          <w:szCs w:val="32"/>
        </w:rPr>
        <w:t>学期</w:t>
      </w:r>
    </w:p>
    <w:p>
      <w:pPr>
        <w:spacing w:line="360" w:lineRule="auto"/>
        <w:ind w:firstLine="562" w:firstLineChars="200"/>
        <w:rPr>
          <w:rFonts w:ascii="Times New Roman" w:hAnsi="Times New Roman" w:eastAsia="仿宋_GB2312"/>
          <w:b/>
          <w:bCs/>
          <w:sz w:val="28"/>
          <w:szCs w:val="28"/>
        </w:rPr>
      </w:pPr>
      <w:r>
        <w:rPr>
          <w:rFonts w:hint="eastAsia" w:ascii="宋体" w:hAnsi="宋体" w:eastAsia="仿宋_GB2312"/>
          <w:b/>
          <w:bCs/>
          <w:sz w:val="28"/>
          <w:szCs w:val="28"/>
        </w:rPr>
        <w:t>专业名称：</w:t>
      </w:r>
    </w:p>
    <w:tbl>
      <w:tblPr>
        <w:tblStyle w:val="23"/>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54"/>
        <w:gridCol w:w="2339"/>
        <w:gridCol w:w="793"/>
        <w:gridCol w:w="793"/>
        <w:gridCol w:w="793"/>
        <w:gridCol w:w="793"/>
        <w:gridCol w:w="793"/>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341" w:type="dxa"/>
            <w:gridSpan w:val="2"/>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eastAsia="仿宋_GB2312"/>
                <w:b/>
                <w:bCs/>
                <w:sz w:val="24"/>
                <w:szCs w:val="24"/>
              </w:rPr>
            </w:pPr>
            <w:r>
              <w:rPr>
                <w:rFonts w:hint="eastAsia" w:ascii="Times New Roman" w:hAnsi="Times New Roman" w:eastAsia="仿宋_GB2312"/>
                <w:b/>
                <w:bCs/>
                <w:sz w:val="24"/>
                <w:szCs w:val="24"/>
              </w:rPr>
              <w:t>专业年级</w:t>
            </w:r>
          </w:p>
        </w:tc>
        <w:tc>
          <w:tcPr>
            <w:tcW w:w="7151" w:type="dxa"/>
            <w:gridSpan w:val="7"/>
            <w:tcBorders>
              <w:top w:val="single" w:color="auto" w:sz="4" w:space="0"/>
              <w:left w:val="nil"/>
              <w:bottom w:val="single" w:color="auto" w:sz="4" w:space="0"/>
              <w:right w:val="single" w:color="auto" w:sz="12" w:space="0"/>
            </w:tcBorders>
            <w:vAlign w:val="center"/>
          </w:tcPr>
          <w:p>
            <w:pPr>
              <w:spacing w:line="360" w:lineRule="auto"/>
              <w:jc w:val="center"/>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341" w:type="dxa"/>
            <w:gridSpan w:val="2"/>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eastAsia="仿宋_GB2312"/>
                <w:b/>
                <w:bCs/>
                <w:szCs w:val="21"/>
              </w:rPr>
            </w:pPr>
            <w:r>
              <w:rPr>
                <w:rFonts w:hint="eastAsia" w:ascii="Times New Roman" w:hAnsi="Times New Roman" w:eastAsia="仿宋_GB2312"/>
                <w:b/>
                <w:bCs/>
                <w:sz w:val="28"/>
                <w:szCs w:val="28"/>
              </w:rPr>
              <w:t>变更形式</w:t>
            </w:r>
          </w:p>
        </w:tc>
        <w:tc>
          <w:tcPr>
            <w:tcW w:w="2339"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课程（实践环节）编号及名称</w:t>
            </w: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周课时</w:t>
            </w: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理论课时</w:t>
            </w: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实践课时</w:t>
            </w: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总学时</w:t>
            </w:r>
          </w:p>
        </w:tc>
        <w:tc>
          <w:tcPr>
            <w:tcW w:w="793" w:type="dxa"/>
            <w:tcBorders>
              <w:top w:val="single" w:color="auto" w:sz="4" w:space="0"/>
              <w:left w:val="nil"/>
              <w:bottom w:val="single" w:color="auto" w:sz="4" w:space="0"/>
              <w:right w:val="single" w:color="auto" w:sz="12" w:space="0"/>
            </w:tcBorders>
            <w:vAlign w:val="center"/>
          </w:tcPr>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课程性质</w:t>
            </w:r>
          </w:p>
        </w:tc>
        <w:tc>
          <w:tcPr>
            <w:tcW w:w="847"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考试类型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987" w:type="dxa"/>
            <w:vMerge w:val="restart"/>
            <w:tcBorders>
              <w:top w:val="nil"/>
              <w:left w:val="single" w:color="auto" w:sz="12" w:space="0"/>
              <w:bottom w:val="single" w:color="auto" w:sz="4" w:space="0"/>
              <w:right w:val="single" w:color="auto" w:sz="4" w:space="0"/>
            </w:tcBorders>
            <w:vAlign w:val="center"/>
          </w:tcPr>
          <w:p>
            <w:pPr>
              <w:spacing w:line="360" w:lineRule="auto"/>
              <w:jc w:val="center"/>
              <w:rPr>
                <w:rFonts w:ascii="Times New Roman" w:hAnsi="Times New Roman" w:eastAsia="仿宋_GB2312"/>
                <w:b/>
                <w:bCs/>
                <w:sz w:val="28"/>
                <w:szCs w:val="28"/>
              </w:rPr>
            </w:pPr>
            <w:r>
              <w:rPr>
                <w:rFonts w:hint="eastAsia" w:ascii="Times New Roman" w:hAnsi="Times New Roman" w:eastAsia="仿宋_GB2312"/>
                <w:b/>
                <w:bCs/>
                <w:sz w:val="28"/>
                <w:szCs w:val="28"/>
              </w:rPr>
              <w:t>一、调整计划</w:t>
            </w:r>
          </w:p>
        </w:tc>
        <w:tc>
          <w:tcPr>
            <w:tcW w:w="1354"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b/>
                <w:bCs/>
                <w:sz w:val="28"/>
                <w:szCs w:val="28"/>
              </w:rPr>
            </w:pPr>
            <w:r>
              <w:rPr>
                <w:rFonts w:hint="eastAsia" w:ascii="Times New Roman" w:hAnsi="Times New Roman" w:eastAsia="仿宋_GB2312"/>
                <w:b/>
                <w:bCs/>
                <w:sz w:val="28"/>
                <w:szCs w:val="28"/>
              </w:rPr>
              <w:t>原来计划</w:t>
            </w:r>
          </w:p>
          <w:p>
            <w:pPr>
              <w:spacing w:line="360" w:lineRule="auto"/>
              <w:jc w:val="center"/>
              <w:rPr>
                <w:rFonts w:ascii="Times New Roman" w:hAnsi="Times New Roman" w:eastAsia="仿宋_GB2312"/>
                <w:b/>
                <w:bCs/>
                <w:sz w:val="28"/>
                <w:szCs w:val="28"/>
              </w:rPr>
            </w:pPr>
            <w:r>
              <w:rPr>
                <w:rFonts w:hint="eastAsia" w:ascii="Times New Roman" w:hAnsi="Times New Roman" w:eastAsia="仿宋_GB2312"/>
                <w:b/>
                <w:bCs/>
                <w:sz w:val="28"/>
                <w:szCs w:val="28"/>
              </w:rPr>
              <w:t>安排</w:t>
            </w:r>
          </w:p>
        </w:tc>
        <w:tc>
          <w:tcPr>
            <w:tcW w:w="2339"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12" w:space="0"/>
            </w:tcBorders>
            <w:vAlign w:val="center"/>
          </w:tcPr>
          <w:p>
            <w:pPr>
              <w:spacing w:line="360" w:lineRule="auto"/>
              <w:jc w:val="center"/>
              <w:rPr>
                <w:rFonts w:ascii="Times New Roman" w:hAnsi="Times New Roman" w:eastAsia="仿宋_GB2312"/>
                <w:sz w:val="24"/>
                <w:szCs w:val="24"/>
              </w:rPr>
            </w:pPr>
          </w:p>
        </w:tc>
        <w:tc>
          <w:tcPr>
            <w:tcW w:w="847"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341" w:type="dxa"/>
            <w:vMerge w:val="continue"/>
            <w:tcBorders>
              <w:top w:val="nil"/>
              <w:left w:val="single" w:color="auto" w:sz="12" w:space="0"/>
              <w:bottom w:val="single" w:color="auto" w:sz="4" w:space="0"/>
              <w:right w:val="single" w:color="auto" w:sz="4" w:space="0"/>
            </w:tcBorders>
            <w:vAlign w:val="center"/>
          </w:tcPr>
          <w:p>
            <w:pPr>
              <w:widowControl/>
              <w:spacing w:line="400" w:lineRule="exact"/>
              <w:jc w:val="left"/>
              <w:rPr>
                <w:rFonts w:ascii="Times New Roman" w:hAnsi="Times New Roman" w:eastAsia="宋体"/>
                <w:b/>
                <w:bCs/>
                <w:szCs w:val="21"/>
              </w:rPr>
            </w:pPr>
          </w:p>
        </w:tc>
        <w:tc>
          <w:tcPr>
            <w:tcW w:w="1354"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b/>
                <w:bCs/>
                <w:szCs w:val="21"/>
              </w:rPr>
            </w:pPr>
            <w:r>
              <w:rPr>
                <w:rFonts w:hint="eastAsia" w:ascii="Times New Roman" w:hAnsi="Times New Roman" w:eastAsia="仿宋_GB2312"/>
                <w:b/>
                <w:bCs/>
                <w:sz w:val="28"/>
                <w:szCs w:val="28"/>
              </w:rPr>
              <w:t>申请调整为</w:t>
            </w:r>
          </w:p>
        </w:tc>
        <w:tc>
          <w:tcPr>
            <w:tcW w:w="2339"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12" w:space="0"/>
            </w:tcBorders>
            <w:vAlign w:val="center"/>
          </w:tcPr>
          <w:p>
            <w:pPr>
              <w:spacing w:line="360" w:lineRule="auto"/>
              <w:jc w:val="center"/>
              <w:rPr>
                <w:rFonts w:ascii="Times New Roman" w:hAnsi="Times New Roman" w:eastAsia="仿宋_GB2312"/>
                <w:sz w:val="24"/>
                <w:szCs w:val="24"/>
              </w:rPr>
            </w:pPr>
          </w:p>
        </w:tc>
        <w:tc>
          <w:tcPr>
            <w:tcW w:w="847"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eastAsia="仿宋_GB2312"/>
                <w:b/>
                <w:bCs/>
                <w:szCs w:val="21"/>
              </w:rPr>
            </w:pPr>
            <w:r>
              <w:rPr>
                <w:rFonts w:hint="eastAsia" w:ascii="Times New Roman" w:hAnsi="Times New Roman" w:eastAsia="仿宋_GB2312"/>
                <w:b/>
                <w:bCs/>
                <w:sz w:val="28"/>
                <w:szCs w:val="28"/>
              </w:rPr>
              <w:t>二、增加计划</w:t>
            </w:r>
          </w:p>
        </w:tc>
        <w:tc>
          <w:tcPr>
            <w:tcW w:w="1354"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b/>
                <w:bCs/>
                <w:sz w:val="28"/>
                <w:szCs w:val="28"/>
              </w:rPr>
            </w:pPr>
          </w:p>
        </w:tc>
        <w:tc>
          <w:tcPr>
            <w:tcW w:w="2339"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p>
        </w:tc>
        <w:tc>
          <w:tcPr>
            <w:tcW w:w="793" w:type="dxa"/>
            <w:tcBorders>
              <w:top w:val="single" w:color="auto" w:sz="4" w:space="0"/>
              <w:left w:val="nil"/>
              <w:bottom w:val="single" w:color="auto" w:sz="4" w:space="0"/>
              <w:right w:val="single" w:color="auto" w:sz="12" w:space="0"/>
            </w:tcBorders>
            <w:vAlign w:val="center"/>
          </w:tcPr>
          <w:p>
            <w:pPr>
              <w:spacing w:line="360" w:lineRule="auto"/>
              <w:jc w:val="center"/>
              <w:rPr>
                <w:rFonts w:ascii="Times New Roman" w:hAnsi="Times New Roman" w:eastAsia="仿宋_GB2312"/>
                <w:sz w:val="24"/>
                <w:szCs w:val="24"/>
              </w:rPr>
            </w:pPr>
          </w:p>
        </w:tc>
        <w:tc>
          <w:tcPr>
            <w:tcW w:w="847"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变</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更</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原</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因</w:t>
            </w:r>
          </w:p>
        </w:tc>
        <w:tc>
          <w:tcPr>
            <w:tcW w:w="8505" w:type="dxa"/>
            <w:gridSpan w:val="8"/>
            <w:tcBorders>
              <w:top w:val="single" w:color="auto" w:sz="4" w:space="0"/>
              <w:left w:val="nil"/>
              <w:bottom w:val="single" w:color="auto" w:sz="4" w:space="0"/>
              <w:right w:val="single" w:color="auto" w:sz="12" w:space="0"/>
            </w:tcBorders>
            <w:vAlign w:val="center"/>
          </w:tcPr>
          <w:p>
            <w:pPr>
              <w:spacing w:line="360" w:lineRule="auto"/>
              <w:jc w:val="center"/>
              <w:rPr>
                <w:rFonts w:ascii="Times New Roman" w:hAnsi="Times New Roman" w:eastAsia="仿宋_GB2312"/>
                <w:szCs w:val="21"/>
              </w:rPr>
            </w:pPr>
          </w:p>
          <w:p>
            <w:pPr>
              <w:spacing w:line="360" w:lineRule="auto"/>
              <w:jc w:val="center"/>
              <w:rPr>
                <w:rFonts w:ascii="Times New Roman" w:hAnsi="Times New Roman" w:eastAsia="仿宋_GB2312"/>
                <w:sz w:val="28"/>
                <w:szCs w:val="28"/>
              </w:rPr>
            </w:pPr>
          </w:p>
          <w:p>
            <w:pPr>
              <w:spacing w:line="360" w:lineRule="auto"/>
              <w:rPr>
                <w:rFonts w:ascii="Times New Roman" w:hAnsi="Times New Roman" w:eastAsia="仿宋_GB2312"/>
                <w:sz w:val="28"/>
                <w:szCs w:val="28"/>
              </w:rPr>
            </w:pPr>
          </w:p>
          <w:p>
            <w:pPr>
              <w:spacing w:line="360" w:lineRule="auto"/>
              <w:rPr>
                <w:rFonts w:ascii="Times New Roman" w:hAnsi="Times New Roman" w:eastAsia="仿宋_GB2312"/>
                <w:sz w:val="28"/>
                <w:szCs w:val="28"/>
              </w:rPr>
            </w:pPr>
          </w:p>
          <w:p>
            <w:pPr>
              <w:spacing w:line="360" w:lineRule="auto"/>
              <w:jc w:val="center"/>
              <w:rPr>
                <w:rFonts w:ascii="Times New Roman" w:hAnsi="Times New Roman" w:eastAsia="仿宋_GB2312"/>
                <w:sz w:val="28"/>
                <w:szCs w:val="28"/>
                <w:u w:val="single"/>
              </w:rPr>
            </w:pPr>
            <w:r>
              <w:rPr>
                <w:rFonts w:hint="eastAsia" w:ascii="Times New Roman" w:hAnsi="Times New Roman" w:eastAsia="仿宋_GB2312"/>
                <w:sz w:val="28"/>
                <w:szCs w:val="28"/>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年</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月</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专</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业</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部</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意</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见</w:t>
            </w:r>
          </w:p>
        </w:tc>
        <w:tc>
          <w:tcPr>
            <w:tcW w:w="8505" w:type="dxa"/>
            <w:gridSpan w:val="8"/>
            <w:tcBorders>
              <w:top w:val="single" w:color="auto" w:sz="4" w:space="0"/>
              <w:left w:val="nil"/>
              <w:bottom w:val="single" w:color="auto" w:sz="4" w:space="0"/>
              <w:right w:val="single" w:color="auto" w:sz="12" w:space="0"/>
            </w:tcBorders>
            <w:vAlign w:val="center"/>
          </w:tcPr>
          <w:p>
            <w:pPr>
              <w:spacing w:line="360" w:lineRule="auto"/>
              <w:jc w:val="center"/>
              <w:rPr>
                <w:rFonts w:ascii="Times New Roman" w:hAnsi="Times New Roman" w:eastAsia="仿宋_GB2312"/>
                <w:szCs w:val="21"/>
              </w:rPr>
            </w:pPr>
          </w:p>
          <w:p>
            <w:pPr>
              <w:spacing w:line="360" w:lineRule="auto"/>
              <w:jc w:val="center"/>
              <w:rPr>
                <w:rFonts w:ascii="Times New Roman" w:hAnsi="Times New Roman" w:eastAsia="仿宋_GB2312"/>
                <w:sz w:val="28"/>
                <w:szCs w:val="28"/>
              </w:rPr>
            </w:pPr>
          </w:p>
          <w:p>
            <w:pPr>
              <w:spacing w:line="360" w:lineRule="auto"/>
              <w:jc w:val="center"/>
              <w:rPr>
                <w:rFonts w:ascii="Times New Roman" w:hAnsi="Times New Roman" w:eastAsia="仿宋_GB2312"/>
                <w:sz w:val="28"/>
                <w:szCs w:val="28"/>
              </w:rPr>
            </w:pPr>
          </w:p>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rPr>
              <w:t>主管领导（签章）：</w:t>
            </w:r>
          </w:p>
          <w:p>
            <w:pPr>
              <w:spacing w:line="360" w:lineRule="auto"/>
              <w:jc w:val="center"/>
              <w:rPr>
                <w:rFonts w:ascii="Times New Roman" w:hAnsi="Times New Roman" w:eastAsia="仿宋_GB2312"/>
                <w:sz w:val="28"/>
                <w:szCs w:val="28"/>
                <w:u w:val="single"/>
              </w:rPr>
            </w:pPr>
            <w:r>
              <w:rPr>
                <w:rFonts w:hint="eastAsia" w:ascii="Times New Roman" w:hAnsi="Times New Roman" w:eastAsia="仿宋_GB2312"/>
                <w:sz w:val="28"/>
                <w:szCs w:val="28"/>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年</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月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教</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务</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处</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意</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见</w:t>
            </w:r>
          </w:p>
        </w:tc>
        <w:tc>
          <w:tcPr>
            <w:tcW w:w="8505" w:type="dxa"/>
            <w:gridSpan w:val="8"/>
            <w:tcBorders>
              <w:top w:val="single" w:color="auto" w:sz="4" w:space="0"/>
              <w:left w:val="nil"/>
              <w:bottom w:val="single" w:color="auto" w:sz="4" w:space="0"/>
              <w:right w:val="single" w:color="auto" w:sz="12" w:space="0"/>
            </w:tcBorders>
            <w:vAlign w:val="center"/>
          </w:tcPr>
          <w:p>
            <w:pPr>
              <w:spacing w:line="360" w:lineRule="auto"/>
              <w:jc w:val="center"/>
              <w:rPr>
                <w:rFonts w:ascii="Times New Roman" w:hAnsi="Times New Roman" w:eastAsia="仿宋_GB2312"/>
                <w:szCs w:val="21"/>
              </w:rPr>
            </w:pPr>
          </w:p>
          <w:p>
            <w:pPr>
              <w:spacing w:line="360" w:lineRule="auto"/>
              <w:jc w:val="center"/>
              <w:rPr>
                <w:rFonts w:ascii="Times New Roman" w:hAnsi="Times New Roman" w:eastAsia="仿宋_GB2312"/>
                <w:sz w:val="28"/>
                <w:szCs w:val="28"/>
              </w:rPr>
            </w:pPr>
          </w:p>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 xml:space="preserve">                      教务处长（签章）：</w:t>
            </w:r>
          </w:p>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主</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管</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领</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导</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意</w:t>
            </w:r>
          </w:p>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见</w:t>
            </w:r>
          </w:p>
        </w:tc>
        <w:tc>
          <w:tcPr>
            <w:tcW w:w="8505" w:type="dxa"/>
            <w:gridSpan w:val="8"/>
            <w:tcBorders>
              <w:top w:val="single" w:color="auto" w:sz="4" w:space="0"/>
              <w:left w:val="nil"/>
              <w:bottom w:val="single" w:color="auto" w:sz="12" w:space="0"/>
              <w:right w:val="single" w:color="auto" w:sz="12" w:space="0"/>
            </w:tcBorders>
            <w:vAlign w:val="center"/>
          </w:tcPr>
          <w:p>
            <w:pPr>
              <w:spacing w:line="360" w:lineRule="auto"/>
              <w:jc w:val="center"/>
              <w:rPr>
                <w:rFonts w:ascii="Times New Roman" w:hAnsi="Times New Roman" w:eastAsia="仿宋_GB2312"/>
                <w:sz w:val="24"/>
                <w:szCs w:val="24"/>
              </w:rPr>
            </w:pPr>
          </w:p>
          <w:p>
            <w:pPr>
              <w:spacing w:line="360" w:lineRule="auto"/>
              <w:jc w:val="center"/>
              <w:rPr>
                <w:rFonts w:ascii="Times New Roman" w:hAnsi="Times New Roman" w:eastAsia="仿宋_GB2312"/>
                <w:sz w:val="24"/>
                <w:szCs w:val="24"/>
              </w:rPr>
            </w:pPr>
          </w:p>
          <w:p>
            <w:pPr>
              <w:spacing w:line="360" w:lineRule="auto"/>
              <w:rPr>
                <w:rFonts w:ascii="Times New Roman" w:hAnsi="Times New Roman" w:eastAsia="仿宋_GB2312"/>
                <w:sz w:val="24"/>
                <w:szCs w:val="24"/>
              </w:rPr>
            </w:pPr>
            <w:r>
              <w:rPr>
                <w:rFonts w:hint="eastAsia" w:ascii="Times New Roman" w:hAnsi="Times New Roman" w:eastAsia="仿宋_GB2312"/>
                <w:sz w:val="24"/>
                <w:szCs w:val="24"/>
              </w:rPr>
              <w:t xml:space="preserve">      </w:t>
            </w:r>
          </w:p>
          <w:p>
            <w:pPr>
              <w:spacing w:line="360" w:lineRule="auto"/>
              <w:rPr>
                <w:rFonts w:ascii="Times New Roman" w:hAnsi="Times New Roman" w:eastAsia="仿宋_GB2312"/>
                <w:sz w:val="24"/>
                <w:szCs w:val="24"/>
              </w:rPr>
            </w:pPr>
            <w:r>
              <w:rPr>
                <w:rFonts w:hint="eastAsia" w:ascii="Times New Roman" w:hAnsi="Times New Roman" w:eastAsia="仿宋_GB2312"/>
                <w:sz w:val="28"/>
                <w:szCs w:val="28"/>
              </w:rPr>
              <w:t>校领导（签章）：</w:t>
            </w:r>
          </w:p>
          <w:p>
            <w:pPr>
              <w:spacing w:line="360" w:lineRule="auto"/>
              <w:rPr>
                <w:rFonts w:ascii="Times New Roman" w:hAnsi="Times New Roman" w:eastAsia="仿宋_GB2312"/>
                <w:sz w:val="24"/>
                <w:szCs w:val="24"/>
              </w:rPr>
            </w:pPr>
            <w:r>
              <w:rPr>
                <w:rFonts w:hint="eastAsia" w:ascii="Times New Roman" w:hAnsi="Times New Roman" w:eastAsia="仿宋_GB2312"/>
                <w:sz w:val="24"/>
                <w:szCs w:val="24"/>
              </w:rPr>
              <w:t xml:space="preserve">                                                 </w:t>
            </w:r>
            <w:r>
              <w:rPr>
                <w:rFonts w:hint="eastAsia" w:ascii="Times New Roman" w:hAnsi="Times New Roman" w:eastAsia="仿宋_GB2312"/>
                <w:sz w:val="28"/>
                <w:szCs w:val="28"/>
              </w:rPr>
              <w:t>年    月    日</w:t>
            </w:r>
          </w:p>
        </w:tc>
      </w:tr>
    </w:tbl>
    <w:p>
      <w:pPr>
        <w:spacing w:line="360" w:lineRule="auto"/>
        <w:ind w:firstLine="5280" w:firstLineChars="2200"/>
        <w:rPr>
          <w:strike/>
        </w:rPr>
      </w:pPr>
      <w:r>
        <w:rPr>
          <w:rFonts w:hint="eastAsia" w:ascii="Times New Roman" w:hAnsi="Times New Roman" w:eastAsia="仿宋_GB2312"/>
          <w:sz w:val="24"/>
          <w:szCs w:val="24"/>
        </w:rPr>
        <w:t xml:space="preserve"> </w:t>
      </w:r>
    </w:p>
    <w:sectPr>
      <w:footerReference r:id="rId7" w:type="default"/>
      <w:pgSz w:w="11906" w:h="16838"/>
      <w:pgMar w:top="1021" w:right="1021" w:bottom="1021" w:left="1134" w:header="680" w:footer="992" w:gutter="567"/>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835365"/>
      <w:docPartObj>
        <w:docPartGallery w:val="autotext"/>
      </w:docPartObj>
    </w:sdtPr>
    <w:sdtEndPr>
      <w:rPr>
        <w:rFonts w:ascii="Times New Roman" w:hAnsi="Times New Roman" w:cs="Times New Roman"/>
      </w:rPr>
    </w:sdtEndPr>
    <w:sdtContent>
      <w:p>
        <w:pPr>
          <w:pStyle w:val="14"/>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8063D"/>
    <w:multiLevelType w:val="singleLevel"/>
    <w:tmpl w:val="90F8063D"/>
    <w:lvl w:ilvl="0" w:tentative="0">
      <w:start w:val="4"/>
      <w:numFmt w:val="chineseCounting"/>
      <w:suff w:val="nothing"/>
      <w:lvlText w:val="%1、"/>
      <w:lvlJc w:val="left"/>
      <w:rPr>
        <w:rFonts w:hint="eastAsia"/>
      </w:rPr>
    </w:lvl>
  </w:abstractNum>
  <w:abstractNum w:abstractNumId="1">
    <w:nsid w:val="1E9F9CF7"/>
    <w:multiLevelType w:val="singleLevel"/>
    <w:tmpl w:val="1E9F9CF7"/>
    <w:lvl w:ilvl="0" w:tentative="0">
      <w:start w:val="1"/>
      <w:numFmt w:val="decimal"/>
      <w:suff w:val="nothing"/>
      <w:lvlText w:val="%1、"/>
      <w:lvlJc w:val="left"/>
    </w:lvl>
  </w:abstractNum>
  <w:abstractNum w:abstractNumId="2">
    <w:nsid w:val="2BB33123"/>
    <w:multiLevelType w:val="multilevel"/>
    <w:tmpl w:val="2BB33123"/>
    <w:lvl w:ilvl="0" w:tentative="0">
      <w:start w:val="1"/>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7F0E73"/>
    <w:rsid w:val="00003683"/>
    <w:rsid w:val="000217D3"/>
    <w:rsid w:val="00066B3A"/>
    <w:rsid w:val="000737F6"/>
    <w:rsid w:val="000B279B"/>
    <w:rsid w:val="000B5DBE"/>
    <w:rsid w:val="001163FA"/>
    <w:rsid w:val="001207FC"/>
    <w:rsid w:val="00142022"/>
    <w:rsid w:val="00194676"/>
    <w:rsid w:val="001C6886"/>
    <w:rsid w:val="001F0A72"/>
    <w:rsid w:val="001F2DDE"/>
    <w:rsid w:val="002510B8"/>
    <w:rsid w:val="00260CD8"/>
    <w:rsid w:val="002B05E2"/>
    <w:rsid w:val="003137E6"/>
    <w:rsid w:val="00314833"/>
    <w:rsid w:val="00320438"/>
    <w:rsid w:val="003309AF"/>
    <w:rsid w:val="00333611"/>
    <w:rsid w:val="0033786E"/>
    <w:rsid w:val="00364C93"/>
    <w:rsid w:val="0037595E"/>
    <w:rsid w:val="003B449E"/>
    <w:rsid w:val="003C2BCB"/>
    <w:rsid w:val="003F2437"/>
    <w:rsid w:val="00406780"/>
    <w:rsid w:val="00410222"/>
    <w:rsid w:val="004159D3"/>
    <w:rsid w:val="00452F5C"/>
    <w:rsid w:val="004759B6"/>
    <w:rsid w:val="0049454D"/>
    <w:rsid w:val="004B22FA"/>
    <w:rsid w:val="004B6864"/>
    <w:rsid w:val="004F5B0C"/>
    <w:rsid w:val="005069E0"/>
    <w:rsid w:val="0051174F"/>
    <w:rsid w:val="005142C5"/>
    <w:rsid w:val="00522E70"/>
    <w:rsid w:val="0058311B"/>
    <w:rsid w:val="0058782D"/>
    <w:rsid w:val="005928AD"/>
    <w:rsid w:val="00596803"/>
    <w:rsid w:val="005C7DD6"/>
    <w:rsid w:val="005C7FD6"/>
    <w:rsid w:val="005D5B02"/>
    <w:rsid w:val="005F64AD"/>
    <w:rsid w:val="00616828"/>
    <w:rsid w:val="00632B6F"/>
    <w:rsid w:val="0064411B"/>
    <w:rsid w:val="00647A33"/>
    <w:rsid w:val="00671511"/>
    <w:rsid w:val="0068472A"/>
    <w:rsid w:val="006B57D7"/>
    <w:rsid w:val="006C1FDA"/>
    <w:rsid w:val="006E3010"/>
    <w:rsid w:val="006F7A34"/>
    <w:rsid w:val="0071287F"/>
    <w:rsid w:val="00745BC7"/>
    <w:rsid w:val="007C3C1E"/>
    <w:rsid w:val="007E25C2"/>
    <w:rsid w:val="007F0E73"/>
    <w:rsid w:val="007F572D"/>
    <w:rsid w:val="007F743A"/>
    <w:rsid w:val="00837910"/>
    <w:rsid w:val="0084092B"/>
    <w:rsid w:val="00844FE3"/>
    <w:rsid w:val="00877276"/>
    <w:rsid w:val="00892243"/>
    <w:rsid w:val="008A0AE0"/>
    <w:rsid w:val="008C281D"/>
    <w:rsid w:val="008C6A0C"/>
    <w:rsid w:val="00902528"/>
    <w:rsid w:val="00934689"/>
    <w:rsid w:val="00956651"/>
    <w:rsid w:val="00962525"/>
    <w:rsid w:val="009841CD"/>
    <w:rsid w:val="009A0883"/>
    <w:rsid w:val="009A320C"/>
    <w:rsid w:val="009A575D"/>
    <w:rsid w:val="009B0DF0"/>
    <w:rsid w:val="009E5764"/>
    <w:rsid w:val="00A45D87"/>
    <w:rsid w:val="00A57F6A"/>
    <w:rsid w:val="00A770CA"/>
    <w:rsid w:val="00AA0DD3"/>
    <w:rsid w:val="00AB52CC"/>
    <w:rsid w:val="00AC2279"/>
    <w:rsid w:val="00AE199D"/>
    <w:rsid w:val="00B25C95"/>
    <w:rsid w:val="00B50E7A"/>
    <w:rsid w:val="00B67678"/>
    <w:rsid w:val="00B812AE"/>
    <w:rsid w:val="00B94291"/>
    <w:rsid w:val="00B96256"/>
    <w:rsid w:val="00BC137F"/>
    <w:rsid w:val="00BF0139"/>
    <w:rsid w:val="00BF01EA"/>
    <w:rsid w:val="00C34877"/>
    <w:rsid w:val="00C65EBD"/>
    <w:rsid w:val="00CF3E86"/>
    <w:rsid w:val="00D10436"/>
    <w:rsid w:val="00D37DB7"/>
    <w:rsid w:val="00D77116"/>
    <w:rsid w:val="00DA08C3"/>
    <w:rsid w:val="00DB01CD"/>
    <w:rsid w:val="00DC69C4"/>
    <w:rsid w:val="00DE0A20"/>
    <w:rsid w:val="00DE0F36"/>
    <w:rsid w:val="00DE64D6"/>
    <w:rsid w:val="00E03858"/>
    <w:rsid w:val="00E23555"/>
    <w:rsid w:val="00E23DFA"/>
    <w:rsid w:val="00E27593"/>
    <w:rsid w:val="00E53849"/>
    <w:rsid w:val="00E61C79"/>
    <w:rsid w:val="00E812C2"/>
    <w:rsid w:val="00E92852"/>
    <w:rsid w:val="00EC1930"/>
    <w:rsid w:val="00ED29E2"/>
    <w:rsid w:val="00EE731B"/>
    <w:rsid w:val="00EE734D"/>
    <w:rsid w:val="00EF55C6"/>
    <w:rsid w:val="00F05236"/>
    <w:rsid w:val="00F05F87"/>
    <w:rsid w:val="00F074A5"/>
    <w:rsid w:val="00F60A20"/>
    <w:rsid w:val="00F713F3"/>
    <w:rsid w:val="00FB38C0"/>
    <w:rsid w:val="00FB418D"/>
    <w:rsid w:val="00FC1E62"/>
    <w:rsid w:val="026101FC"/>
    <w:rsid w:val="02901CBE"/>
    <w:rsid w:val="030440CE"/>
    <w:rsid w:val="04AB6AD4"/>
    <w:rsid w:val="06B06A54"/>
    <w:rsid w:val="15161ED9"/>
    <w:rsid w:val="15697EC9"/>
    <w:rsid w:val="167F5E0C"/>
    <w:rsid w:val="22370D00"/>
    <w:rsid w:val="250E6316"/>
    <w:rsid w:val="278B6599"/>
    <w:rsid w:val="2D541AB7"/>
    <w:rsid w:val="391D5E6F"/>
    <w:rsid w:val="488C4821"/>
    <w:rsid w:val="4B76165B"/>
    <w:rsid w:val="538E0B78"/>
    <w:rsid w:val="54C53DC5"/>
    <w:rsid w:val="6CBA368C"/>
    <w:rsid w:val="6F117DAB"/>
    <w:rsid w:val="79BB53F9"/>
    <w:rsid w:val="7AF17662"/>
    <w:rsid w:val="7E252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9"/>
    <w:pPr>
      <w:keepNext/>
      <w:keepLines/>
      <w:widowControl/>
      <w:spacing w:before="190" w:beforeLines="50" w:after="190" w:afterLines="50" w:line="500" w:lineRule="exact"/>
      <w:jc w:val="left"/>
      <w:outlineLvl w:val="0"/>
    </w:pPr>
    <w:rPr>
      <w:rFonts w:ascii="黑体" w:hAnsi="黑体" w:eastAsia="黑体"/>
      <w:b/>
      <w:bCs/>
      <w:kern w:val="44"/>
      <w:sz w:val="32"/>
      <w:szCs w:val="44"/>
    </w:rPr>
  </w:style>
  <w:style w:type="paragraph" w:styleId="3">
    <w:name w:val="heading 2"/>
    <w:basedOn w:val="1"/>
    <w:next w:val="1"/>
    <w:link w:val="32"/>
    <w:unhideWhenUsed/>
    <w:qFormat/>
    <w:uiPriority w:val="99"/>
    <w:pPr>
      <w:keepNext/>
      <w:keepLines/>
      <w:widowControl/>
      <w:spacing w:before="190" w:beforeLines="50" w:after="190" w:afterLines="50" w:line="500" w:lineRule="exact"/>
      <w:jc w:val="left"/>
      <w:outlineLvl w:val="1"/>
    </w:pPr>
    <w:rPr>
      <w:rFonts w:ascii="黑体" w:hAnsi="黑体" w:eastAsia="黑体" w:cstheme="majorBidi"/>
      <w:b/>
      <w:bCs/>
      <w:sz w:val="30"/>
      <w:szCs w:val="32"/>
    </w:rPr>
  </w:style>
  <w:style w:type="paragraph" w:styleId="4">
    <w:name w:val="heading 3"/>
    <w:basedOn w:val="1"/>
    <w:next w:val="1"/>
    <w:link w:val="33"/>
    <w:unhideWhenUsed/>
    <w:qFormat/>
    <w:uiPriority w:val="99"/>
    <w:pPr>
      <w:keepNext/>
      <w:keepLines/>
      <w:widowControl/>
      <w:spacing w:before="190" w:beforeLines="50" w:after="190" w:afterLines="50" w:line="500" w:lineRule="exact"/>
      <w:jc w:val="left"/>
      <w:outlineLvl w:val="2"/>
    </w:pPr>
    <w:rPr>
      <w:rFonts w:ascii="黑体" w:hAnsi="黑体" w:eastAsia="黑体"/>
      <w:b/>
      <w:bCs/>
      <w:sz w:val="30"/>
      <w:szCs w:val="32"/>
    </w:rPr>
  </w:style>
  <w:style w:type="paragraph" w:styleId="5">
    <w:name w:val="heading 4"/>
    <w:basedOn w:val="1"/>
    <w:next w:val="1"/>
    <w:link w:val="34"/>
    <w:unhideWhenUsed/>
    <w:qFormat/>
    <w:uiPriority w:val="9"/>
    <w:pPr>
      <w:keepNext/>
      <w:keepLines/>
      <w:widowControl/>
      <w:spacing w:before="190" w:beforeLines="50" w:after="190" w:afterLines="50" w:line="400" w:lineRule="exact"/>
      <w:jc w:val="left"/>
      <w:outlineLvl w:val="3"/>
    </w:pPr>
    <w:rPr>
      <w:rFonts w:ascii="仿宋_GB2312" w:hAnsi="仿宋" w:eastAsia="仿宋_GB2312" w:cstheme="majorBidi"/>
      <w:b/>
      <w:bCs/>
      <w:sz w:val="28"/>
      <w:szCs w:val="28"/>
    </w:rPr>
  </w:style>
  <w:style w:type="paragraph" w:styleId="6">
    <w:name w:val="heading 5"/>
    <w:basedOn w:val="1"/>
    <w:next w:val="1"/>
    <w:link w:val="36"/>
    <w:semiHidden/>
    <w:unhideWhenUsed/>
    <w:qFormat/>
    <w:uiPriority w:val="9"/>
    <w:pPr>
      <w:keepNext/>
      <w:keepLines/>
      <w:widowControl/>
      <w:spacing w:before="280" w:after="290" w:line="360" w:lineRule="exact"/>
      <w:jc w:val="left"/>
      <w:outlineLvl w:val="4"/>
    </w:pPr>
    <w:rPr>
      <w:rFonts w:ascii="仿宋" w:hAnsi="仿宋"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rFonts w:cstheme="minorHAnsi"/>
      <w:sz w:val="18"/>
      <w:szCs w:val="18"/>
    </w:rPr>
  </w:style>
  <w:style w:type="paragraph" w:styleId="8">
    <w:name w:val="annotation text"/>
    <w:basedOn w:val="1"/>
    <w:link w:val="50"/>
    <w:semiHidden/>
    <w:unhideWhenUsed/>
    <w:qFormat/>
    <w:uiPriority w:val="99"/>
    <w:pPr>
      <w:jc w:val="left"/>
    </w:pPr>
  </w:style>
  <w:style w:type="paragraph" w:styleId="9">
    <w:name w:val="Body Text Indent"/>
    <w:basedOn w:val="1"/>
    <w:link w:val="61"/>
    <w:unhideWhenUsed/>
    <w:qFormat/>
    <w:uiPriority w:val="99"/>
    <w:pPr>
      <w:spacing w:line="600" w:lineRule="exact"/>
      <w:ind w:firstLine="600" w:firstLineChars="200"/>
    </w:pPr>
    <w:rPr>
      <w:rFonts w:ascii="宋体" w:hAnsi="宋体" w:eastAsia="宋体" w:cs="Times New Roman"/>
      <w:sz w:val="30"/>
      <w:szCs w:val="30"/>
    </w:rPr>
  </w:style>
  <w:style w:type="paragraph" w:styleId="10">
    <w:name w:val="toc 5"/>
    <w:basedOn w:val="1"/>
    <w:next w:val="1"/>
    <w:unhideWhenUsed/>
    <w:qFormat/>
    <w:uiPriority w:val="39"/>
    <w:pPr>
      <w:ind w:left="840"/>
      <w:jc w:val="left"/>
    </w:pPr>
    <w:rPr>
      <w:rFonts w:cstheme="minorHAnsi"/>
      <w:sz w:val="18"/>
      <w:szCs w:val="18"/>
    </w:rPr>
  </w:style>
  <w:style w:type="paragraph" w:styleId="11">
    <w:name w:val="toc 3"/>
    <w:basedOn w:val="1"/>
    <w:next w:val="1"/>
    <w:unhideWhenUsed/>
    <w:qFormat/>
    <w:uiPriority w:val="39"/>
    <w:pPr>
      <w:ind w:left="420"/>
      <w:jc w:val="left"/>
    </w:pPr>
    <w:rPr>
      <w:rFonts w:cstheme="minorHAnsi"/>
      <w:i/>
      <w:iCs/>
      <w:sz w:val="20"/>
      <w:szCs w:val="20"/>
    </w:rPr>
  </w:style>
  <w:style w:type="paragraph" w:styleId="12">
    <w:name w:val="toc 8"/>
    <w:basedOn w:val="1"/>
    <w:next w:val="1"/>
    <w:unhideWhenUsed/>
    <w:qFormat/>
    <w:uiPriority w:val="39"/>
    <w:pPr>
      <w:ind w:left="1470"/>
      <w:jc w:val="left"/>
    </w:pPr>
    <w:rPr>
      <w:rFonts w:cstheme="minorHAnsi"/>
      <w:sz w:val="18"/>
      <w:szCs w:val="18"/>
    </w:rPr>
  </w:style>
  <w:style w:type="paragraph" w:styleId="13">
    <w:name w:val="Balloon Text"/>
    <w:basedOn w:val="1"/>
    <w:link w:val="35"/>
    <w:semiHidden/>
    <w:unhideWhenUsed/>
    <w:qFormat/>
    <w:uiPriority w:val="99"/>
    <w:pPr>
      <w:widowControl/>
      <w:ind w:firstLine="561"/>
      <w:jc w:val="left"/>
    </w:pPr>
    <w:rPr>
      <w:rFonts w:ascii="仿宋" w:hAnsi="仿宋" w:eastAsia="仿宋_GB2312"/>
      <w:sz w:val="18"/>
      <w:szCs w:val="18"/>
    </w:rPr>
  </w:style>
  <w:style w:type="paragraph" w:styleId="14">
    <w:name w:val="footer"/>
    <w:basedOn w:val="1"/>
    <w:link w:val="30"/>
    <w:qFormat/>
    <w:uiPriority w:val="99"/>
    <w:pPr>
      <w:widowControl/>
      <w:spacing w:line="360" w:lineRule="exact"/>
      <w:jc w:val="center"/>
    </w:pPr>
    <w:rPr>
      <w:rFonts w:ascii="仿宋" w:hAnsi="仿宋" w:eastAsia="仿宋_GB2312"/>
      <w:sz w:val="18"/>
      <w:szCs w:val="28"/>
    </w:rPr>
  </w:style>
  <w:style w:type="paragraph" w:styleId="15">
    <w:name w:val="header"/>
    <w:basedOn w:val="14"/>
    <w:link w:val="29"/>
    <w:qFormat/>
    <w:uiPriority w:val="99"/>
    <w:pPr>
      <w:pBdr>
        <w:bottom w:val="single" w:color="auto" w:sz="4" w:space="1"/>
      </w:pBdr>
      <w:jc w:val="right"/>
    </w:pPr>
  </w:style>
  <w:style w:type="paragraph" w:styleId="16">
    <w:name w:val="toc 1"/>
    <w:basedOn w:val="1"/>
    <w:next w:val="1"/>
    <w:unhideWhenUsed/>
    <w:qFormat/>
    <w:uiPriority w:val="39"/>
    <w:pPr>
      <w:jc w:val="left"/>
    </w:pPr>
    <w:rPr>
      <w:rFonts w:cstheme="minorHAnsi"/>
      <w:bCs/>
      <w:caps/>
      <w:sz w:val="24"/>
      <w:szCs w:val="20"/>
    </w:rPr>
  </w:style>
  <w:style w:type="paragraph" w:styleId="17">
    <w:name w:val="toc 4"/>
    <w:basedOn w:val="1"/>
    <w:next w:val="1"/>
    <w:unhideWhenUsed/>
    <w:qFormat/>
    <w:uiPriority w:val="39"/>
    <w:pPr>
      <w:ind w:left="630"/>
      <w:jc w:val="left"/>
    </w:pPr>
    <w:rPr>
      <w:rFonts w:cstheme="minorHAnsi"/>
      <w:sz w:val="18"/>
      <w:szCs w:val="18"/>
    </w:rPr>
  </w:style>
  <w:style w:type="paragraph" w:styleId="18">
    <w:name w:val="toc 6"/>
    <w:basedOn w:val="1"/>
    <w:next w:val="1"/>
    <w:unhideWhenUsed/>
    <w:qFormat/>
    <w:uiPriority w:val="39"/>
    <w:pPr>
      <w:ind w:left="1050"/>
      <w:jc w:val="left"/>
    </w:pPr>
    <w:rPr>
      <w:rFonts w:cstheme="minorHAnsi"/>
      <w:sz w:val="18"/>
      <w:szCs w:val="18"/>
    </w:rPr>
  </w:style>
  <w:style w:type="paragraph" w:styleId="19">
    <w:name w:val="toc 2"/>
    <w:basedOn w:val="1"/>
    <w:next w:val="1"/>
    <w:unhideWhenUsed/>
    <w:qFormat/>
    <w:uiPriority w:val="39"/>
    <w:pPr>
      <w:ind w:left="210"/>
      <w:jc w:val="left"/>
    </w:pPr>
    <w:rPr>
      <w:rFonts w:cstheme="minorHAnsi"/>
      <w:smallCaps/>
      <w:sz w:val="20"/>
      <w:szCs w:val="20"/>
    </w:rPr>
  </w:style>
  <w:style w:type="paragraph" w:styleId="20">
    <w:name w:val="toc 9"/>
    <w:basedOn w:val="1"/>
    <w:next w:val="1"/>
    <w:unhideWhenUsed/>
    <w:qFormat/>
    <w:uiPriority w:val="39"/>
    <w:pPr>
      <w:ind w:left="1680"/>
      <w:jc w:val="left"/>
    </w:pPr>
    <w:rPr>
      <w:rFonts w:cstheme="minorHAnsi"/>
      <w:sz w:val="18"/>
      <w:szCs w:val="18"/>
    </w:rPr>
  </w:style>
  <w:style w:type="paragraph" w:styleId="21">
    <w:name w:val="Title"/>
    <w:basedOn w:val="1"/>
    <w:next w:val="1"/>
    <w:link w:val="37"/>
    <w:qFormat/>
    <w:uiPriority w:val="10"/>
    <w:pPr>
      <w:widowControl/>
      <w:spacing w:before="240" w:after="60" w:line="360" w:lineRule="exact"/>
      <w:ind w:firstLine="561"/>
      <w:jc w:val="center"/>
      <w:outlineLvl w:val="0"/>
    </w:pPr>
    <w:rPr>
      <w:rFonts w:eastAsia="宋体" w:asciiTheme="majorHAnsi" w:hAnsiTheme="majorHAnsi" w:cstheme="majorBidi"/>
      <w:b/>
      <w:bCs/>
      <w:sz w:val="32"/>
      <w:szCs w:val="32"/>
    </w:rPr>
  </w:style>
  <w:style w:type="paragraph" w:styleId="22">
    <w:name w:val="annotation subject"/>
    <w:basedOn w:val="8"/>
    <w:next w:val="8"/>
    <w:link w:val="51"/>
    <w:semiHidden/>
    <w:unhideWhenUsed/>
    <w:qFormat/>
    <w:uiPriority w:val="99"/>
    <w:rPr>
      <w:b/>
      <w:bCs/>
    </w:rPr>
  </w:style>
  <w:style w:type="table" w:styleId="24">
    <w:name w:val="Table Grid"/>
    <w:basedOn w:val="23"/>
    <w:unhideWhenUsed/>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unhideWhenUsed/>
    <w:qFormat/>
    <w:uiPriority w:val="99"/>
    <w:rPr>
      <w:color w:val="800080"/>
      <w:u w:val="single"/>
    </w:rPr>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character" w:customStyle="1" w:styleId="29">
    <w:name w:val="页眉 字符"/>
    <w:basedOn w:val="25"/>
    <w:link w:val="15"/>
    <w:qFormat/>
    <w:uiPriority w:val="99"/>
    <w:rPr>
      <w:rFonts w:eastAsia="仿宋_GB2312"/>
      <w:sz w:val="18"/>
    </w:rPr>
  </w:style>
  <w:style w:type="character" w:customStyle="1" w:styleId="30">
    <w:name w:val="页脚 字符"/>
    <w:basedOn w:val="25"/>
    <w:link w:val="14"/>
    <w:qFormat/>
    <w:uiPriority w:val="99"/>
    <w:rPr>
      <w:sz w:val="18"/>
    </w:rPr>
  </w:style>
  <w:style w:type="character" w:customStyle="1" w:styleId="31">
    <w:name w:val="标题 1 字符"/>
    <w:basedOn w:val="25"/>
    <w:link w:val="2"/>
    <w:qFormat/>
    <w:uiPriority w:val="99"/>
    <w:rPr>
      <w:rFonts w:ascii="黑体" w:hAnsi="黑体" w:eastAsia="黑体"/>
      <w:b/>
      <w:bCs/>
      <w:kern w:val="44"/>
      <w:sz w:val="32"/>
      <w:szCs w:val="44"/>
    </w:rPr>
  </w:style>
  <w:style w:type="character" w:customStyle="1" w:styleId="32">
    <w:name w:val="标题 2 字符"/>
    <w:basedOn w:val="25"/>
    <w:link w:val="3"/>
    <w:qFormat/>
    <w:uiPriority w:val="99"/>
    <w:rPr>
      <w:rFonts w:ascii="黑体" w:hAnsi="黑体" w:eastAsia="黑体" w:cstheme="majorBidi"/>
      <w:b/>
      <w:bCs/>
      <w:sz w:val="30"/>
      <w:szCs w:val="32"/>
    </w:rPr>
  </w:style>
  <w:style w:type="character" w:customStyle="1" w:styleId="33">
    <w:name w:val="标题 3 字符"/>
    <w:basedOn w:val="25"/>
    <w:link w:val="4"/>
    <w:qFormat/>
    <w:uiPriority w:val="99"/>
    <w:rPr>
      <w:rFonts w:ascii="黑体" w:hAnsi="黑体" w:eastAsia="黑体"/>
      <w:b/>
      <w:bCs/>
      <w:sz w:val="30"/>
      <w:szCs w:val="32"/>
    </w:rPr>
  </w:style>
  <w:style w:type="character" w:customStyle="1" w:styleId="34">
    <w:name w:val="标题 4 字符"/>
    <w:basedOn w:val="25"/>
    <w:link w:val="5"/>
    <w:qFormat/>
    <w:uiPriority w:val="9"/>
    <w:rPr>
      <w:rFonts w:ascii="仿宋_GB2312" w:cstheme="majorBidi"/>
      <w:b/>
      <w:bCs/>
    </w:rPr>
  </w:style>
  <w:style w:type="character" w:customStyle="1" w:styleId="35">
    <w:name w:val="批注框文本 字符"/>
    <w:basedOn w:val="25"/>
    <w:link w:val="13"/>
    <w:semiHidden/>
    <w:qFormat/>
    <w:uiPriority w:val="99"/>
    <w:rPr>
      <w:rFonts w:eastAsia="仿宋_GB2312"/>
      <w:sz w:val="18"/>
      <w:szCs w:val="18"/>
    </w:rPr>
  </w:style>
  <w:style w:type="character" w:customStyle="1" w:styleId="36">
    <w:name w:val="标题 5 字符"/>
    <w:basedOn w:val="25"/>
    <w:link w:val="6"/>
    <w:semiHidden/>
    <w:qFormat/>
    <w:uiPriority w:val="9"/>
    <w:rPr>
      <w:rFonts w:eastAsia="黑体"/>
      <w:b/>
      <w:bCs/>
    </w:rPr>
  </w:style>
  <w:style w:type="character" w:customStyle="1" w:styleId="37">
    <w:name w:val="标题 字符"/>
    <w:basedOn w:val="25"/>
    <w:link w:val="21"/>
    <w:qFormat/>
    <w:uiPriority w:val="10"/>
    <w:rPr>
      <w:rFonts w:eastAsia="宋体" w:asciiTheme="majorHAnsi" w:hAnsiTheme="majorHAnsi" w:cstheme="majorBidi"/>
      <w:b/>
      <w:bCs/>
      <w:sz w:val="32"/>
      <w:szCs w:val="32"/>
    </w:rPr>
  </w:style>
  <w:style w:type="paragraph" w:customStyle="1" w:styleId="38">
    <w:name w:val="目录"/>
    <w:basedOn w:val="1"/>
    <w:link w:val="40"/>
    <w:qFormat/>
    <w:uiPriority w:val="0"/>
    <w:pPr>
      <w:ind w:firstLine="480" w:firstLineChars="200"/>
    </w:pPr>
    <w:rPr>
      <w:rFonts w:asciiTheme="minorEastAsia" w:hAnsiTheme="minorEastAsia"/>
      <w:sz w:val="24"/>
      <w:szCs w:val="24"/>
    </w:rPr>
  </w:style>
  <w:style w:type="paragraph" w:customStyle="1" w:styleId="39">
    <w:name w:val="封面署名"/>
    <w:basedOn w:val="1"/>
    <w:link w:val="42"/>
    <w:qFormat/>
    <w:uiPriority w:val="0"/>
    <w:pPr>
      <w:spacing w:line="360" w:lineRule="exact"/>
    </w:pPr>
    <w:rPr>
      <w:rFonts w:ascii="黑体" w:hAnsi="黑体" w:eastAsia="黑体"/>
      <w:sz w:val="32"/>
      <w:szCs w:val="32"/>
    </w:rPr>
  </w:style>
  <w:style w:type="character" w:customStyle="1" w:styleId="40">
    <w:name w:val="目录 Char"/>
    <w:basedOn w:val="25"/>
    <w:link w:val="38"/>
    <w:qFormat/>
    <w:uiPriority w:val="0"/>
    <w:rPr>
      <w:rFonts w:asciiTheme="minorEastAsia" w:hAnsiTheme="minorEastAsia" w:eastAsiaTheme="minorEastAsia"/>
      <w:sz w:val="24"/>
      <w:szCs w:val="24"/>
    </w:rPr>
  </w:style>
  <w:style w:type="paragraph" w:customStyle="1" w:styleId="41">
    <w:name w:val="封面标题"/>
    <w:basedOn w:val="1"/>
    <w:link w:val="44"/>
    <w:qFormat/>
    <w:uiPriority w:val="0"/>
    <w:pPr>
      <w:spacing w:line="360" w:lineRule="auto"/>
    </w:pPr>
    <w:rPr>
      <w:rFonts w:ascii="黑体" w:hAnsi="黑体" w:eastAsia="黑体"/>
      <w:sz w:val="44"/>
      <w:szCs w:val="44"/>
    </w:rPr>
  </w:style>
  <w:style w:type="character" w:customStyle="1" w:styleId="42">
    <w:name w:val="封面署名 Char"/>
    <w:basedOn w:val="25"/>
    <w:link w:val="39"/>
    <w:qFormat/>
    <w:uiPriority w:val="0"/>
    <w:rPr>
      <w:rFonts w:ascii="黑体" w:hAnsi="黑体" w:eastAsia="黑体"/>
      <w:sz w:val="32"/>
      <w:szCs w:val="32"/>
    </w:rPr>
  </w:style>
  <w:style w:type="paragraph" w:customStyle="1" w:styleId="43">
    <w:name w:val="正文标题"/>
    <w:basedOn w:val="1"/>
    <w:link w:val="45"/>
    <w:qFormat/>
    <w:uiPriority w:val="0"/>
    <w:pPr>
      <w:spacing w:before="190" w:beforeLines="50" w:after="190" w:afterLines="50" w:line="500" w:lineRule="exact"/>
      <w:jc w:val="center"/>
    </w:pPr>
    <w:rPr>
      <w:rFonts w:ascii="黑体" w:hAnsi="黑体" w:eastAsia="黑体"/>
      <w:b/>
      <w:sz w:val="36"/>
      <w:szCs w:val="36"/>
    </w:rPr>
  </w:style>
  <w:style w:type="character" w:customStyle="1" w:styleId="44">
    <w:name w:val="封面标题 Char"/>
    <w:basedOn w:val="25"/>
    <w:link w:val="41"/>
    <w:qFormat/>
    <w:uiPriority w:val="0"/>
    <w:rPr>
      <w:rFonts w:ascii="黑体" w:hAnsi="黑体" w:eastAsia="黑体"/>
      <w:sz w:val="44"/>
      <w:szCs w:val="44"/>
    </w:rPr>
  </w:style>
  <w:style w:type="character" w:customStyle="1" w:styleId="45">
    <w:name w:val="正文标题 Char"/>
    <w:basedOn w:val="25"/>
    <w:link w:val="43"/>
    <w:qFormat/>
    <w:uiPriority w:val="0"/>
    <w:rPr>
      <w:rFonts w:ascii="黑体" w:hAnsi="黑体" w:eastAsia="黑体"/>
      <w:b/>
      <w:sz w:val="36"/>
      <w:szCs w:val="36"/>
    </w:rPr>
  </w:style>
  <w:style w:type="character" w:customStyle="1" w:styleId="46">
    <w:name w:val="未处理的提及1"/>
    <w:basedOn w:val="25"/>
    <w:semiHidden/>
    <w:unhideWhenUsed/>
    <w:qFormat/>
    <w:uiPriority w:val="99"/>
    <w:rPr>
      <w:color w:val="605E5C"/>
      <w:shd w:val="clear" w:color="auto" w:fill="E1DFDD"/>
    </w:rPr>
  </w:style>
  <w:style w:type="paragraph" w:customStyle="1" w:styleId="47">
    <w:name w:val="正文2"/>
    <w:basedOn w:val="1"/>
    <w:link w:val="48"/>
    <w:qFormat/>
    <w:uiPriority w:val="0"/>
    <w:pPr>
      <w:spacing w:line="400" w:lineRule="exact"/>
      <w:ind w:firstLine="560" w:firstLineChars="200"/>
    </w:pPr>
    <w:rPr>
      <w:rFonts w:ascii="仿宋_GB2312" w:eastAsia="仿宋_GB2312"/>
      <w:sz w:val="28"/>
      <w:szCs w:val="28"/>
    </w:rPr>
  </w:style>
  <w:style w:type="character" w:customStyle="1" w:styleId="48">
    <w:name w:val="正文2 Char"/>
    <w:basedOn w:val="25"/>
    <w:link w:val="47"/>
    <w:qFormat/>
    <w:uiPriority w:val="0"/>
    <w:rPr>
      <w:rFonts w:ascii="仿宋_GB2312" w:hAnsiTheme="minorHAnsi"/>
    </w:rPr>
  </w:style>
  <w:style w:type="paragraph" w:customStyle="1" w:styleId="49">
    <w:name w:val="TOC Heading"/>
    <w:basedOn w:val="2"/>
    <w:next w:val="1"/>
    <w:semiHidden/>
    <w:unhideWhenUsed/>
    <w:qFormat/>
    <w:uiPriority w:val="39"/>
    <w:pPr>
      <w:spacing w:before="480" w:beforeLines="0" w:after="0" w:afterLines="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50">
    <w:name w:val="批注文字 字符"/>
    <w:basedOn w:val="25"/>
    <w:link w:val="8"/>
    <w:semiHidden/>
    <w:qFormat/>
    <w:uiPriority w:val="99"/>
    <w:rPr>
      <w:rFonts w:asciiTheme="minorHAnsi" w:hAnsiTheme="minorHAnsi" w:eastAsiaTheme="minorEastAsia"/>
      <w:sz w:val="21"/>
      <w:szCs w:val="22"/>
    </w:rPr>
  </w:style>
  <w:style w:type="character" w:customStyle="1" w:styleId="51">
    <w:name w:val="批注主题 字符"/>
    <w:basedOn w:val="50"/>
    <w:link w:val="22"/>
    <w:semiHidden/>
    <w:qFormat/>
    <w:uiPriority w:val="99"/>
    <w:rPr>
      <w:rFonts w:asciiTheme="minorHAnsi" w:hAnsiTheme="minorHAnsi" w:eastAsiaTheme="minorEastAsia"/>
      <w:b/>
      <w:bCs/>
      <w:sz w:val="21"/>
      <w:szCs w:val="22"/>
    </w:rPr>
  </w:style>
  <w:style w:type="paragraph" w:styleId="52">
    <w:name w:val="List Paragraph"/>
    <w:basedOn w:val="1"/>
    <w:qFormat/>
    <w:uiPriority w:val="34"/>
    <w:pPr>
      <w:ind w:firstLine="420" w:firstLineChars="200"/>
    </w:pPr>
  </w:style>
  <w:style w:type="table" w:customStyle="1" w:styleId="53">
    <w:name w:val="网格型1"/>
    <w:basedOn w:val="23"/>
    <w:unhideWhenUsed/>
    <w:qFormat/>
    <w:uiPriority w:val="99"/>
    <w:pPr>
      <w:spacing w:line="240" w:lineRule="auto"/>
      <w:ind w:firstLine="0"/>
    </w:pPr>
    <w:rPr>
      <w:rFonts w:cs="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表格文字"/>
    <w:basedOn w:val="1"/>
    <w:link w:val="56"/>
    <w:qFormat/>
    <w:uiPriority w:val="0"/>
    <w:pPr>
      <w:spacing w:line="360" w:lineRule="exact"/>
    </w:pPr>
    <w:rPr>
      <w:rFonts w:ascii="仿宋_GB2312" w:eastAsia="仿宋_GB2312"/>
      <w:sz w:val="24"/>
      <w:szCs w:val="24"/>
    </w:rPr>
  </w:style>
  <w:style w:type="paragraph" w:customStyle="1" w:styleId="55">
    <w:name w:val="图片格式"/>
    <w:basedOn w:val="1"/>
    <w:link w:val="57"/>
    <w:qFormat/>
    <w:uiPriority w:val="0"/>
    <w:pPr>
      <w:jc w:val="center"/>
    </w:pPr>
    <w:rPr>
      <w:rFonts w:ascii="仿宋_GB2312" w:eastAsia="仿宋_GB2312"/>
      <w:sz w:val="28"/>
      <w:szCs w:val="28"/>
    </w:rPr>
  </w:style>
  <w:style w:type="character" w:customStyle="1" w:styleId="56">
    <w:name w:val="表格文字 Char"/>
    <w:basedOn w:val="25"/>
    <w:link w:val="54"/>
    <w:qFormat/>
    <w:uiPriority w:val="0"/>
    <w:rPr>
      <w:rFonts w:ascii="仿宋_GB2312" w:hAnsiTheme="minorHAnsi"/>
      <w:sz w:val="24"/>
      <w:szCs w:val="24"/>
    </w:rPr>
  </w:style>
  <w:style w:type="character" w:customStyle="1" w:styleId="57">
    <w:name w:val="图片格式 Char"/>
    <w:basedOn w:val="25"/>
    <w:link w:val="55"/>
    <w:qFormat/>
    <w:uiPriority w:val="0"/>
    <w:rPr>
      <w:rFonts w:ascii="仿宋_GB2312" w:hAnsiTheme="minorHAnsi"/>
    </w:rPr>
  </w:style>
  <w:style w:type="paragraph" w:customStyle="1" w:styleId="58">
    <w:name w:val="图片"/>
    <w:basedOn w:val="47"/>
    <w:qFormat/>
    <w:uiPriority w:val="0"/>
    <w:pPr>
      <w:spacing w:line="240" w:lineRule="auto"/>
      <w:ind w:firstLine="0" w:firstLineChars="0"/>
      <w:jc w:val="center"/>
    </w:pPr>
    <w:rPr>
      <w:rFonts w:hAnsi="Calibri" w:cs="Times New Roman"/>
    </w:rPr>
  </w:style>
  <w:style w:type="character" w:customStyle="1" w:styleId="59">
    <w:name w:val="15"/>
    <w:basedOn w:val="25"/>
    <w:qFormat/>
    <w:uiPriority w:val="0"/>
    <w:rPr>
      <w:rFonts w:hint="eastAsia" w:ascii="黑体" w:hAnsi="黑体" w:eastAsia="黑体"/>
      <w:b/>
      <w:bCs/>
      <w:kern w:val="44"/>
      <w:sz w:val="32"/>
      <w:szCs w:val="32"/>
    </w:rPr>
  </w:style>
  <w:style w:type="paragraph" w:customStyle="1" w:styleId="60">
    <w:name w:val="列表段落1"/>
    <w:basedOn w:val="1"/>
    <w:qFormat/>
    <w:uiPriority w:val="0"/>
    <w:pPr>
      <w:ind w:firstLine="420" w:firstLineChars="200"/>
    </w:pPr>
    <w:rPr>
      <w:rFonts w:ascii="Times New Roman" w:hAnsi="Times New Roman" w:eastAsia="宋体" w:cs="Times New Roman"/>
      <w:szCs w:val="21"/>
    </w:rPr>
  </w:style>
  <w:style w:type="character" w:customStyle="1" w:styleId="61">
    <w:name w:val="正文文本缩进 字符"/>
    <w:basedOn w:val="25"/>
    <w:link w:val="9"/>
    <w:qFormat/>
    <w:uiPriority w:val="99"/>
    <w:rPr>
      <w:rFonts w:ascii="宋体" w:hAnsi="宋体" w:eastAsia="宋体" w:cs="Times New Roman"/>
      <w:sz w:val="30"/>
      <w:szCs w:val="30"/>
    </w:rPr>
  </w:style>
  <w:style w:type="character" w:customStyle="1" w:styleId="62">
    <w:name w:val="10"/>
    <w:basedOn w:val="25"/>
    <w:qFormat/>
    <w:uiPriority w:val="0"/>
    <w:rPr>
      <w:rFonts w:hint="eastAsia" w:ascii="仿宋" w:hAnsi="仿宋" w:eastAsia="仿宋"/>
    </w:rPr>
  </w:style>
  <w:style w:type="table" w:customStyle="1" w:styleId="63">
    <w:name w:val="网格型11"/>
    <w:basedOn w:val="23"/>
    <w:qFormat/>
    <w:uiPriority w:val="0"/>
    <w:pPr>
      <w:spacing w:line="240" w:lineRule="auto"/>
      <w:ind w:firstLine="0"/>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2DF82-CECC-42CC-AFDB-1A97AEB1D9F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40</Pages>
  <Words>25722</Words>
  <Characters>26295</Characters>
  <Lines>258</Lines>
  <Paragraphs>72</Paragraphs>
  <TotalTime>5</TotalTime>
  <ScaleCrop>false</ScaleCrop>
  <LinksUpToDate>false</LinksUpToDate>
  <CharactersWithSpaces>26780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2020-02-22T09:20:00Z</dcterms:created>
  <dc:creator>hp</dc:creator>
  <cp:lastModifiedBy>郭文博</cp:lastModifiedBy>
  <dcterms:modified xsi:type="dcterms:W3CDTF">2023-04-12T08:06:09Z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9A4D178FE1534910AEF97605EF6776C3</vt:lpwstr>
  </property>
</Properties>
</file>