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rPr>
      </w:pPr>
      <w:r>
        <w:rPr>
          <w:rFonts w:ascii="Calibri" w:hAnsi="Calibri" w:eastAsia="宋体" w:cs="Times New Roman"/>
        </w:rPr>
        <w:pict>
          <v:rect id="矩形 5" o:spid="_x0000_s1026" o:spt="1" style="position:absolute;left:0pt;margin-left:-3.35pt;margin-top:5pt;height:703.5pt;width:469.75pt;mso-position-horizontal-relative:margin;mso-position-vertical-relative:margin;z-index:251659264;mso-width-relative:margin;mso-height-relative:margin;"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">
            <v:path/>
            <v:fill on="f" focussize="0,0"/>
            <v:stroke weight="3pt" linestyle="thinThin"/>
            <v:imagedata o:title=""/>
            <o:lock v:ext="edit"/>
          </v:rect>
        </w:pict>
      </w: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jc w:val="center"/>
        <w:rPr>
          <w:rFonts w:ascii="Calibri" w:hAnsi="Calibri" w:eastAsia="宋体" w:cs="Times New Roman"/>
          <w:sz w:val="24"/>
        </w:rPr>
      </w:pPr>
    </w:p>
    <w:p>
      <w:pPr>
        <w:jc w:val="center"/>
        <w:rPr>
          <w:rFonts w:ascii="Calibri" w:hAnsi="Calibri" w:eastAsia="宋体" w:cs="Times New Roman"/>
          <w:sz w:val="24"/>
        </w:rPr>
      </w:pPr>
    </w:p>
    <w:p>
      <w:pPr>
        <w:jc w:val="center"/>
        <w:rPr>
          <w:rFonts w:ascii="Calibri" w:hAnsi="Calibri" w:eastAsia="宋体" w:cs="Times New Roman"/>
          <w:sz w:val="24"/>
        </w:rPr>
      </w:pPr>
    </w:p>
    <w:p>
      <w:pPr>
        <w:rPr>
          <w:rFonts w:ascii="Calibri" w:hAnsi="Calibri" w:eastAsia="宋体" w:cs="Times New Roman"/>
          <w:sz w:val="24"/>
        </w:rPr>
      </w:pPr>
    </w:p>
    <w:p>
      <w:pPr>
        <w:rPr>
          <w:rFonts w:ascii="黑体" w:hAnsi="黑体" w:eastAsia="黑体" w:cs="Times New Roman"/>
          <w:b/>
          <w:sz w:val="44"/>
          <w:szCs w:val="44"/>
        </w:rPr>
      </w:pPr>
    </w:p>
    <w:p>
      <w:pPr>
        <w:ind w:left="720"/>
        <w:rPr>
          <w:rFonts w:ascii="黑体" w:hAnsi="黑体" w:eastAsia="黑体" w:cs="Times New Roman"/>
          <w:b/>
          <w:sz w:val="44"/>
          <w:szCs w:val="44"/>
        </w:rPr>
      </w:pPr>
    </w:p>
    <w:p>
      <w:pPr>
        <w:ind w:left="720"/>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旅游服务与管理专业人才培养方案</w:t>
      </w:r>
    </w:p>
    <w:p>
      <w:pPr>
        <w:rPr>
          <w:rFonts w:ascii="宋体" w:hAnsi="宋体" w:eastAsia="宋体" w:cs="Times New Roman"/>
          <w:sz w:val="100"/>
          <w:szCs w:val="120"/>
        </w:rPr>
      </w:pPr>
    </w:p>
    <w:p>
      <w:pPr>
        <w:jc w:val="center"/>
        <w:rPr>
          <w:rFonts w:ascii="黑体" w:hAnsi="黑体" w:eastAsia="黑体" w:cs="Times New Roman"/>
          <w:b/>
          <w:sz w:val="44"/>
          <w:szCs w:val="44"/>
        </w:rPr>
      </w:pPr>
    </w:p>
    <w:p>
      <w:pPr>
        <w:ind w:left="720"/>
        <w:rPr>
          <w:rFonts w:ascii="黑体" w:hAnsi="黑体" w:eastAsia="黑体" w:cs="Times New Roman"/>
          <w:b/>
          <w:sz w:val="44"/>
          <w:szCs w:val="44"/>
        </w:rPr>
      </w:pPr>
    </w:p>
    <w:p>
      <w:pPr>
        <w:jc w:val="cente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rPr>
          <w:rFonts w:ascii="Calibri" w:hAnsi="Calibri" w:eastAsia="宋体" w:cs="Times New Roman"/>
          <w:sz w:val="24"/>
        </w:rPr>
      </w:pPr>
    </w:p>
    <w:p>
      <w:pPr>
        <w:jc w:val="center"/>
        <w:rPr>
          <w:rFonts w:hint="eastAsia" w:ascii="黑体" w:hAnsi="黑体" w:eastAsia="黑体" w:cs="Times New Roman"/>
          <w:b/>
          <w:sz w:val="28"/>
          <w:szCs w:val="28"/>
        </w:rPr>
      </w:pPr>
      <w:r>
        <w:rPr>
          <w:rFonts w:hint="eastAsia" w:ascii="黑体" w:hAnsi="黑体" w:eastAsia="黑体" w:cs="Times New Roman"/>
          <w:b/>
          <w:sz w:val="28"/>
          <w:szCs w:val="28"/>
        </w:rPr>
        <w:t>成都市工程职业技术学校</w:t>
      </w:r>
    </w:p>
    <w:p>
      <w:pPr>
        <w:jc w:val="center"/>
        <w:rPr>
          <w:rFonts w:hint="eastAsia" w:ascii="黑体" w:hAnsi="黑体" w:eastAsia="黑体" w:cs="Times New Roman"/>
          <w:b/>
          <w:sz w:val="28"/>
          <w:szCs w:val="28"/>
        </w:rPr>
      </w:pPr>
    </w:p>
    <w:p>
      <w:pPr>
        <w:jc w:val="center"/>
        <w:rPr>
          <w:rFonts w:ascii="黑体" w:hAnsi="黑体" w:eastAsia="黑体" w:cs="Times New Roman"/>
          <w:b/>
          <w:sz w:val="28"/>
          <w:szCs w:val="28"/>
        </w:rPr>
      </w:pPr>
      <w:r>
        <w:rPr>
          <w:rFonts w:hint="eastAsia" w:ascii="黑体" w:hAnsi="黑体" w:eastAsia="黑体" w:cs="Times New Roman"/>
          <w:b/>
          <w:sz w:val="28"/>
          <w:szCs w:val="28"/>
        </w:rPr>
        <w:t>2021年8月</w:t>
      </w:r>
    </w:p>
    <w:p>
      <w:pPr>
        <w:jc w:val="center"/>
        <w:rPr>
          <w:rFonts w:ascii="Calibri" w:hAnsi="Calibri" w:eastAsia="宋体" w:cs="Times New Roman"/>
          <w:sz w:val="24"/>
        </w:rPr>
      </w:pPr>
    </w:p>
    <w:p>
      <w:pPr>
        <w:rPr>
          <w:rFonts w:ascii="Calibri" w:hAnsi="Calibri" w:eastAsia="宋体" w:cs="Times New Roman"/>
          <w:sz w:val="24"/>
        </w:rPr>
      </w:pPr>
    </w:p>
    <w:p>
      <w:pPr>
        <w:jc w:val="center"/>
        <w:rPr>
          <w:rFonts w:ascii="Calibri" w:hAnsi="Calibri" w:eastAsia="宋体" w:cs="Times New Roman"/>
          <w:sz w:val="24"/>
        </w:rPr>
      </w:pPr>
    </w:p>
    <w:p>
      <w:pPr>
        <w:rPr>
          <w:rFonts w:ascii="Calibri" w:hAnsi="Calibri" w:eastAsia="宋体" w:cs="Times New Roman"/>
        </w:rPr>
      </w:pPr>
    </w:p>
    <w:p>
      <w:pPr>
        <w:sectPr>
          <w:headerReference r:id="rId3" w:type="default"/>
          <w:headerReference r:id="rId4" w:type="even"/>
          <w:footerReference r:id="rId5" w:type="even"/>
          <w:pgSz w:w="11906" w:h="16838"/>
          <w:pgMar w:top="1021" w:right="1021" w:bottom="1021" w:left="1134" w:header="680" w:footer="992" w:gutter="567"/>
          <w:cols w:space="425" w:num="1"/>
          <w:docGrid w:type="lines" w:linePitch="381" w:charSpace="0"/>
        </w:sectPr>
      </w:pPr>
    </w:p>
    <w:sdt>
      <w:sdtPr>
        <w:rPr>
          <w:rFonts w:asciiTheme="minorHAnsi" w:hAnsiTheme="minorHAnsi" w:eastAsiaTheme="minorEastAsia"/>
          <w:b w:val="0"/>
          <w:sz w:val="21"/>
          <w:szCs w:val="22"/>
          <w:lang w:val="zh-CN"/>
        </w:rPr>
        <w:id w:val="130599163"/>
        <w:docPartObj>
          <w:docPartGallery w:val="Table of Contents"/>
          <w:docPartUnique/>
        </w:docPartObj>
      </w:sdtPr>
      <w:sdtEndPr>
        <w:rPr>
          <w:rFonts w:asciiTheme="minorHAnsi" w:hAnsiTheme="minorHAnsi" w:eastAsiaTheme="minorEastAsia"/>
          <w:b w:val="0"/>
          <w:bCs/>
          <w:sz w:val="21"/>
          <w:szCs w:val="22"/>
          <w:lang w:val="zh-CN"/>
        </w:rPr>
      </w:sdtEndPr>
      <w:sdtContent>
        <w:p>
          <w:pPr>
            <w:pStyle w:val="65"/>
            <w:spacing w:before="190" w:after="190"/>
          </w:pPr>
          <w:r>
            <w:rPr>
              <w:lang w:val="zh-CN"/>
            </w:rPr>
            <w:t>目</w:t>
          </w:r>
          <w:r>
            <w:rPr>
              <w:rFonts w:hint="eastAsia"/>
              <w:lang w:val="zh-CN"/>
            </w:rPr>
            <w:t xml:space="preserve">  </w:t>
          </w:r>
          <w:r>
            <w:rPr>
              <w:lang w:val="zh-CN"/>
            </w:rPr>
            <w:t>录</w:t>
          </w:r>
        </w:p>
        <w:p>
          <w:pPr>
            <w:pStyle w:val="25"/>
            <w:spacing w:before="190" w:after="190"/>
            <w:rPr>
              <w:rFonts w:asciiTheme="minorHAnsi" w:hAnsiTheme="minorHAnsi" w:eastAsiaTheme="minorEastAsia" w:cstheme="minorBidi"/>
              <w:b w:val="0"/>
              <w:bCs w:val="0"/>
              <w:caps w:val="0"/>
              <w:kern w:val="2"/>
              <w:sz w:val="21"/>
              <w:szCs w:val="22"/>
            </w:rPr>
          </w:pPr>
          <w:r>
            <w:fldChar w:fldCharType="begin"/>
          </w:r>
          <w:r>
            <w:instrText xml:space="preserve"> TOC \o "2-3" \u \t "标题 1,1" </w:instrText>
          </w:r>
          <w:r>
            <w:fldChar w:fldCharType="separate"/>
          </w:r>
          <w:r>
            <w:rPr>
              <w:rFonts w:hint="eastAsia"/>
            </w:rPr>
            <w:t>一、专业名称及代码</w:t>
          </w:r>
          <w:r>
            <w:tab/>
          </w:r>
          <w:r>
            <w:fldChar w:fldCharType="begin"/>
          </w:r>
          <w:r>
            <w:instrText xml:space="preserve"> PAGEREF _Toc81163169 \h </w:instrText>
          </w:r>
          <w:r>
            <w:fldChar w:fldCharType="separate"/>
          </w:r>
          <w:r>
            <w:t>1</w:t>
          </w:r>
          <w: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二、入学要求</w:t>
          </w:r>
          <w:r>
            <w:tab/>
          </w:r>
          <w:r>
            <w:fldChar w:fldCharType="begin"/>
          </w:r>
          <w:r>
            <w:instrText xml:space="preserve"> PAGEREF _Toc81163170 \h </w:instrText>
          </w:r>
          <w:r>
            <w:fldChar w:fldCharType="separate"/>
          </w:r>
          <w:r>
            <w:t>1</w:t>
          </w:r>
          <w: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三、修业年限</w:t>
          </w:r>
          <w:r>
            <w:tab/>
          </w:r>
          <w:r>
            <w:fldChar w:fldCharType="begin"/>
          </w:r>
          <w:r>
            <w:instrText xml:space="preserve"> PAGEREF _Toc81163171 \h </w:instrText>
          </w:r>
          <w:r>
            <w:fldChar w:fldCharType="separate"/>
          </w:r>
          <w:r>
            <w:t>1</w:t>
          </w:r>
          <w: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四、职业面向</w:t>
          </w:r>
          <w:r>
            <w:tab/>
          </w:r>
          <w:r>
            <w:fldChar w:fldCharType="begin"/>
          </w:r>
          <w:r>
            <w:instrText xml:space="preserve"> PAGEREF _Toc81163172 \h </w:instrText>
          </w:r>
          <w:r>
            <w:fldChar w:fldCharType="separate"/>
          </w:r>
          <w:r>
            <w:t>1</w:t>
          </w:r>
          <w:r>
            <w:fldChar w:fldCharType="end"/>
          </w:r>
        </w:p>
        <w:p>
          <w:pPr>
            <w:pStyle w:val="30"/>
            <w:tabs>
              <w:tab w:val="right" w:leader="dot" w:pos="9174"/>
            </w:tabs>
            <w:rPr>
              <w:rFonts w:ascii="黑体" w:hAnsi="黑体" w:eastAsia="黑体" w:cstheme="minorBidi"/>
              <w:smallCaps w:val="0"/>
              <w:sz w:val="24"/>
              <w:szCs w:val="24"/>
            </w:rPr>
          </w:pPr>
          <w:r>
            <w:rPr>
              <w:rFonts w:hint="eastAsia" w:ascii="黑体" w:hAnsi="黑体" w:eastAsia="黑体"/>
              <w:sz w:val="24"/>
              <w:szCs w:val="24"/>
            </w:rPr>
            <w:t>（一）就业岗位及职业资格证书</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_Toc81163173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p>
        <w:p>
          <w:pPr>
            <w:pStyle w:val="30"/>
            <w:tabs>
              <w:tab w:val="right" w:leader="dot" w:pos="9174"/>
            </w:tabs>
            <w:rPr>
              <w:rFonts w:ascii="黑体" w:hAnsi="黑体" w:eastAsia="黑体" w:cstheme="minorBidi"/>
              <w:smallCaps w:val="0"/>
              <w:sz w:val="24"/>
              <w:szCs w:val="24"/>
            </w:rPr>
          </w:pPr>
          <w:r>
            <w:rPr>
              <w:rFonts w:hint="eastAsia" w:ascii="黑体" w:hAnsi="黑体" w:eastAsia="黑体"/>
              <w:sz w:val="24"/>
              <w:szCs w:val="24"/>
            </w:rPr>
            <w:t>（二）拓展岗位及职业资格证书</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_Toc81163174 \h </w:instrText>
          </w:r>
          <w:r>
            <w:rPr>
              <w:rFonts w:ascii="黑体" w:hAnsi="黑体" w:eastAsia="黑体"/>
              <w:sz w:val="24"/>
              <w:szCs w:val="24"/>
            </w:rPr>
            <w:fldChar w:fldCharType="separate"/>
          </w:r>
          <w:r>
            <w:rPr>
              <w:rFonts w:ascii="黑体" w:hAnsi="黑体" w:eastAsia="黑体"/>
              <w:sz w:val="24"/>
              <w:szCs w:val="24"/>
            </w:rPr>
            <w:t>1</w:t>
          </w:r>
          <w:r>
            <w:rPr>
              <w:rFonts w:ascii="黑体" w:hAnsi="黑体" w:eastAsia="黑体"/>
              <w:sz w:val="24"/>
              <w:szCs w:val="24"/>
            </w:rP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五、培养目标与人才规格</w:t>
          </w:r>
          <w:r>
            <w:tab/>
          </w:r>
          <w:r>
            <w:fldChar w:fldCharType="begin"/>
          </w:r>
          <w:r>
            <w:instrText xml:space="preserve"> PAGEREF _Toc81163175 \h </w:instrText>
          </w:r>
          <w:r>
            <w:fldChar w:fldCharType="separate"/>
          </w:r>
          <w:r>
            <w:t>2</w:t>
          </w:r>
          <w: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（一）培养目标</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_Toc81163176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（二）人才规格</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_Toc81163177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六、课程设置及要求</w:t>
          </w:r>
          <w:r>
            <w:tab/>
          </w:r>
          <w:r>
            <w:fldChar w:fldCharType="begin"/>
          </w:r>
          <w:r>
            <w:instrText xml:space="preserve"> PAGEREF _Toc81163178 \h </w:instrText>
          </w:r>
          <w:r>
            <w:fldChar w:fldCharType="separate"/>
          </w:r>
          <w:r>
            <w:t>4</w:t>
          </w:r>
          <w: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（一）模块化课程设置说明</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_Toc81163179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（二）模块化课程体系结构框架</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_Toc81163180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（三）课程设置说明</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_Toc81163181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七、学时安排与教学进程总体安排</w:t>
          </w:r>
          <w:r>
            <w:tab/>
          </w:r>
          <w:r>
            <w:fldChar w:fldCharType="begin"/>
          </w:r>
          <w:r>
            <w:instrText xml:space="preserve"> PAGEREF _Toc81163182 \h </w:instrText>
          </w:r>
          <w:r>
            <w:fldChar w:fldCharType="separate"/>
          </w:r>
          <w:r>
            <w:t>11</w:t>
          </w:r>
          <w: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（一）学时安排（见表</w:t>
          </w:r>
          <w:r>
            <w:rPr>
              <w:rFonts w:ascii="黑体" w:hAnsi="黑体" w:eastAsia="黑体"/>
              <w:sz w:val="24"/>
              <w:szCs w:val="24"/>
            </w:rPr>
            <w:t>6</w:t>
          </w:r>
          <w:r>
            <w:rPr>
              <w:rFonts w:hint="eastAsia"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_Toc81163183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（二）教学进程总体安排（见表</w:t>
          </w:r>
          <w:r>
            <w:rPr>
              <w:rFonts w:ascii="黑体" w:hAnsi="黑体" w:eastAsia="黑体"/>
              <w:sz w:val="24"/>
              <w:szCs w:val="24"/>
            </w:rPr>
            <w:t>7</w:t>
          </w:r>
          <w:r>
            <w:rPr>
              <w:rFonts w:hint="eastAsia" w:ascii="黑体" w:hAnsi="黑体" w:eastAsia="黑体"/>
              <w:sz w:val="24"/>
              <w:szCs w:val="24"/>
            </w:rPr>
            <w:t>）</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_Toc81163184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八、实施保障</w:t>
          </w:r>
          <w:r>
            <w:tab/>
          </w:r>
          <w:r>
            <w:fldChar w:fldCharType="begin"/>
          </w:r>
          <w:r>
            <w:instrText xml:space="preserve"> PAGEREF _Toc81163185 \h </w:instrText>
          </w:r>
          <w:r>
            <w:fldChar w:fldCharType="separate"/>
          </w:r>
          <w:r>
            <w:t>14</w:t>
          </w:r>
          <w: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（一）师资队伍</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_Toc81163186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（二）教学设施</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_Toc81163187 \h </w:instrText>
          </w:r>
          <w:r>
            <w:rPr>
              <w:rFonts w:ascii="黑体" w:hAnsi="黑体" w:eastAsia="黑体"/>
              <w:sz w:val="24"/>
              <w:szCs w:val="24"/>
            </w:rPr>
            <w:fldChar w:fldCharType="separate"/>
          </w:r>
          <w:r>
            <w:rPr>
              <w:rFonts w:ascii="黑体" w:hAnsi="黑体" w:eastAsia="黑体"/>
              <w:sz w:val="24"/>
              <w:szCs w:val="24"/>
            </w:rPr>
            <w:t>15</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（三）教学资源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_Toc81163188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（四）教学方法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_Toc81163189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（五）教学管理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_Toc81163190 \h </w:instrText>
          </w:r>
          <w:r>
            <w:rPr>
              <w:rFonts w:ascii="黑体" w:hAnsi="黑体" w:eastAsia="黑体"/>
              <w:sz w:val="24"/>
              <w:szCs w:val="24"/>
            </w:rPr>
            <w:fldChar w:fldCharType="separate"/>
          </w:r>
          <w:r>
            <w:rPr>
              <w:rFonts w:ascii="黑体" w:hAnsi="黑体" w:eastAsia="黑体"/>
              <w:sz w:val="24"/>
              <w:szCs w:val="24"/>
            </w:rPr>
            <w:t>18</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（六）教学评价</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_Toc81163191 \h </w:instrText>
          </w:r>
          <w:r>
            <w:rPr>
              <w:rFonts w:ascii="黑体" w:hAnsi="黑体" w:eastAsia="黑体"/>
              <w:sz w:val="24"/>
              <w:szCs w:val="24"/>
            </w:rPr>
            <w:fldChar w:fldCharType="separate"/>
          </w:r>
          <w:r>
            <w:rPr>
              <w:rFonts w:ascii="黑体" w:hAnsi="黑体" w:eastAsia="黑体"/>
              <w:sz w:val="24"/>
              <w:szCs w:val="24"/>
            </w:rPr>
            <w:t>18</w:t>
          </w:r>
          <w:r>
            <w:rPr>
              <w:rFonts w:ascii="黑体" w:hAnsi="黑体" w:eastAsia="黑体"/>
              <w:sz w:val="24"/>
              <w:szCs w:val="24"/>
            </w:rPr>
            <w:fldChar w:fldCharType="end"/>
          </w:r>
        </w:p>
        <w:p>
          <w:pPr>
            <w:pStyle w:val="30"/>
            <w:tabs>
              <w:tab w:val="right" w:leader="dot" w:pos="9174"/>
            </w:tabs>
            <w:rPr>
              <w:rFonts w:ascii="黑体" w:hAnsi="黑体" w:eastAsia="黑体"/>
              <w:sz w:val="24"/>
              <w:szCs w:val="24"/>
            </w:rPr>
          </w:pPr>
          <w:r>
            <w:rPr>
              <w:rFonts w:hint="eastAsia" w:ascii="黑体" w:hAnsi="黑体" w:eastAsia="黑体"/>
              <w:sz w:val="24"/>
              <w:szCs w:val="24"/>
            </w:rPr>
            <w:t>（七）质量管理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_Toc81163192 \h </w:instrText>
          </w:r>
          <w:r>
            <w:rPr>
              <w:rFonts w:ascii="黑体" w:hAnsi="黑体" w:eastAsia="黑体"/>
              <w:sz w:val="24"/>
              <w:szCs w:val="24"/>
            </w:rPr>
            <w:fldChar w:fldCharType="separate"/>
          </w:r>
          <w:r>
            <w:rPr>
              <w:rFonts w:ascii="黑体" w:hAnsi="黑体" w:eastAsia="黑体"/>
              <w:sz w:val="24"/>
              <w:szCs w:val="24"/>
            </w:rPr>
            <w:t>19</w:t>
          </w:r>
          <w:r>
            <w:rPr>
              <w:rFonts w:ascii="黑体" w:hAnsi="黑体" w:eastAsia="黑体"/>
              <w:sz w:val="24"/>
              <w:szCs w:val="24"/>
            </w:rP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九、毕业要求</w:t>
          </w:r>
          <w:r>
            <w:tab/>
          </w:r>
          <w:r>
            <w:fldChar w:fldCharType="begin"/>
          </w:r>
          <w:r>
            <w:instrText xml:space="preserve"> PAGEREF _Toc81163193 \h </w:instrText>
          </w:r>
          <w:r>
            <w:fldChar w:fldCharType="separate"/>
          </w:r>
          <w:r>
            <w:t>19</w:t>
          </w:r>
          <w:r>
            <w:fldChar w:fldCharType="end"/>
          </w:r>
        </w:p>
        <w:p>
          <w:pPr>
            <w:pStyle w:val="25"/>
            <w:spacing w:before="190" w:after="190"/>
            <w:rPr>
              <w:rFonts w:asciiTheme="minorHAnsi" w:hAnsiTheme="minorHAnsi" w:eastAsiaTheme="minorEastAsia" w:cstheme="minorBidi"/>
              <w:b w:val="0"/>
              <w:bCs w:val="0"/>
              <w:caps w:val="0"/>
              <w:kern w:val="2"/>
              <w:sz w:val="21"/>
              <w:szCs w:val="22"/>
            </w:rPr>
          </w:pPr>
          <w:r>
            <w:rPr>
              <w:rFonts w:hint="eastAsia"/>
            </w:rPr>
            <w:t>十、附录</w:t>
          </w:r>
          <w:r>
            <w:tab/>
          </w:r>
          <w:r>
            <w:fldChar w:fldCharType="begin"/>
          </w:r>
          <w:r>
            <w:instrText xml:space="preserve"> PAGEREF _Toc81163194 \h </w:instrText>
          </w:r>
          <w:r>
            <w:fldChar w:fldCharType="separate"/>
          </w:r>
          <w:r>
            <w:t>20</w:t>
          </w:r>
          <w:r>
            <w:fldChar w:fldCharType="end"/>
          </w:r>
        </w:p>
        <w:p>
          <w:pPr>
            <w:sectPr>
              <w:footerReference r:id="rId6" w:type="default"/>
              <w:pgSz w:w="11906" w:h="16838"/>
              <w:pgMar w:top="1021" w:right="1021" w:bottom="1021" w:left="1134" w:header="680" w:footer="992" w:gutter="567"/>
              <w:pgNumType w:start="1"/>
              <w:cols w:space="425" w:num="1"/>
              <w:docGrid w:type="lines" w:linePitch="381" w:charSpace="0"/>
            </w:sectPr>
          </w:pPr>
          <w:r>
            <w:rPr>
              <w:rFonts w:asciiTheme="minorEastAsia" w:hAnsiTheme="minorEastAsia" w:cstheme="minorHAnsi"/>
              <w:kern w:val="44"/>
              <w:sz w:val="24"/>
              <w:szCs w:val="24"/>
            </w:rPr>
            <w:fldChar w:fldCharType="end"/>
          </w:r>
        </w:p>
      </w:sdtContent>
    </w:sdt>
    <w:p>
      <w:pPr>
        <w:pStyle w:val="2"/>
        <w:spacing w:before="190" w:after="190"/>
      </w:pPr>
      <w:bookmarkStart w:id="0" w:name="_Toc442023761"/>
      <w:bookmarkStart w:id="1" w:name="_Toc395088528"/>
      <w:bookmarkStart w:id="2" w:name="_Toc81163169"/>
      <w:r>
        <w:rPr>
          <w:rFonts w:hint="eastAsia"/>
        </w:rPr>
        <w:t>一、专业名称</w:t>
      </w:r>
      <w:bookmarkEnd w:id="0"/>
      <w:bookmarkEnd w:id="1"/>
      <w:r>
        <w:rPr>
          <w:rFonts w:hint="eastAsia"/>
        </w:rPr>
        <w:t>及代码</w:t>
      </w:r>
      <w:bookmarkEnd w:id="2"/>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专业名称：旅游服务与管理专业</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专业代码：740101</w:t>
      </w:r>
    </w:p>
    <w:p>
      <w:pPr>
        <w:pStyle w:val="2"/>
        <w:spacing w:before="190" w:after="190"/>
      </w:pPr>
      <w:bookmarkStart w:id="3" w:name="_Toc395088529"/>
      <w:bookmarkStart w:id="4" w:name="_Toc442023762"/>
      <w:bookmarkStart w:id="5" w:name="_Toc81163170"/>
      <w:r>
        <w:rPr>
          <w:rFonts w:hint="eastAsia"/>
        </w:rPr>
        <w:t>二、</w:t>
      </w:r>
      <w:bookmarkEnd w:id="3"/>
      <w:bookmarkEnd w:id="4"/>
      <w:r>
        <w:rPr>
          <w:rFonts w:hint="eastAsia"/>
        </w:rPr>
        <w:t>入学要求</w:t>
      </w:r>
      <w:bookmarkEnd w:id="5"/>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初中毕业生或具有同等学力者</w:t>
      </w:r>
    </w:p>
    <w:p>
      <w:pPr>
        <w:pStyle w:val="2"/>
        <w:spacing w:before="190" w:after="190"/>
      </w:pPr>
      <w:bookmarkStart w:id="6" w:name="_Toc442023763"/>
      <w:bookmarkStart w:id="7" w:name="_Toc395088530"/>
      <w:bookmarkStart w:id="8" w:name="_Toc81163171"/>
      <w:r>
        <w:rPr>
          <w:rFonts w:hint="eastAsia"/>
        </w:rPr>
        <w:t>三、</w:t>
      </w:r>
      <w:bookmarkEnd w:id="6"/>
      <w:bookmarkEnd w:id="7"/>
      <w:r>
        <w:rPr>
          <w:rFonts w:hint="eastAsia"/>
        </w:rPr>
        <w:t>修业年限</w:t>
      </w:r>
      <w:bookmarkEnd w:id="8"/>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3年</w:t>
      </w:r>
    </w:p>
    <w:p>
      <w:pPr>
        <w:pStyle w:val="2"/>
        <w:spacing w:before="190" w:after="190"/>
      </w:pPr>
      <w:bookmarkStart w:id="9" w:name="_Toc81163172"/>
      <w:r>
        <w:rPr>
          <w:rFonts w:hint="eastAsia"/>
        </w:rPr>
        <w:t>四、职业面向</w:t>
      </w:r>
      <w:bookmarkEnd w:id="9"/>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旅游服务与管理专业是旅游大类旅游类专业之一，本专业毕业生主要是在旅行社、旅游景区、博物馆及同类企业生产服务第一线从事旅行社服务网点接待、旅行社计调、导游、景区讲解、景区服务、博物馆讲解等相关岗位工作和基层管理岗位工作，或是升入高职院校继续学习旅游服务与管理相关专业。</w:t>
      </w:r>
    </w:p>
    <w:p>
      <w:pPr>
        <w:pStyle w:val="3"/>
        <w:spacing w:before="190" w:after="190"/>
      </w:pPr>
      <w:bookmarkStart w:id="10" w:name="_Toc81163173"/>
      <w:r>
        <w:rPr>
          <w:rFonts w:hint="eastAsia"/>
        </w:rPr>
        <w:t>（一）就业岗位及职业资格证书</w:t>
      </w:r>
      <w:bookmarkEnd w:id="10"/>
    </w:p>
    <w:tbl>
      <w:tblPr>
        <w:tblStyle w:val="37"/>
        <w:tblW w:w="8363" w:type="dxa"/>
        <w:tblInd w:w="329" w:type="dxa"/>
        <w:tblLayout w:type="autofit"/>
        <w:tblCellMar>
          <w:top w:w="0" w:type="dxa"/>
          <w:left w:w="0" w:type="dxa"/>
          <w:bottom w:w="0" w:type="dxa"/>
          <w:right w:w="0" w:type="dxa"/>
        </w:tblCellMar>
      </w:tblPr>
      <w:tblGrid>
        <w:gridCol w:w="1276"/>
        <w:gridCol w:w="2976"/>
        <w:gridCol w:w="4111"/>
      </w:tblGrid>
      <w:tr>
        <w:tblPrEx>
          <w:tblCellMar>
            <w:top w:w="0" w:type="dxa"/>
            <w:left w:w="0" w:type="dxa"/>
            <w:bottom w:w="0" w:type="dxa"/>
            <w:right w:w="0" w:type="dxa"/>
          </w:tblCellMar>
        </w:tblPrEx>
        <w:tc>
          <w:tcPr>
            <w:tcW w:w="1276" w:type="dxa"/>
            <w:tcBorders>
              <w:top w:val="single" w:color="auto" w:sz="6" w:space="0"/>
              <w:left w:val="single" w:color="auto" w:sz="6" w:space="0"/>
              <w:bottom w:val="single" w:color="auto" w:sz="6" w:space="0"/>
              <w:right w:val="single" w:color="auto"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序号</w:t>
            </w:r>
            <w:r>
              <w:rPr>
                <w:rFonts w:cs="宋体" w:asciiTheme="minorEastAsia" w:hAnsiTheme="minorEastAsia"/>
                <w:b/>
                <w:szCs w:val="21"/>
              </w:rPr>
              <w:t xml:space="preserve"> </w:t>
            </w:r>
          </w:p>
        </w:tc>
        <w:tc>
          <w:tcPr>
            <w:tcW w:w="29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对应职业</w:t>
            </w:r>
            <w:r>
              <w:rPr>
                <w:rFonts w:cs="宋体" w:asciiTheme="minorEastAsia" w:hAnsiTheme="minorEastAsia"/>
                <w:b/>
                <w:szCs w:val="21"/>
              </w:rPr>
              <w:t xml:space="preserve"> </w:t>
            </w:r>
            <w:r>
              <w:rPr>
                <w:rFonts w:hint="eastAsia" w:cs="宋体" w:asciiTheme="minorEastAsia" w:hAnsiTheme="minorEastAsia"/>
                <w:b/>
                <w:szCs w:val="21"/>
              </w:rPr>
              <w:t>（岗位）</w:t>
            </w:r>
            <w:r>
              <w:rPr>
                <w:rFonts w:cs="宋体" w:asciiTheme="minorEastAsia" w:hAnsiTheme="minorEastAsia"/>
                <w:b/>
                <w:szCs w:val="21"/>
              </w:rPr>
              <w:t xml:space="preserve"> </w:t>
            </w:r>
          </w:p>
        </w:tc>
        <w:tc>
          <w:tcPr>
            <w:tcW w:w="411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职业资格证书</w:t>
            </w:r>
            <w:r>
              <w:rPr>
                <w:rFonts w:cs="宋体" w:asciiTheme="minorEastAsia" w:hAnsiTheme="minorEastAsia"/>
                <w:b/>
                <w:szCs w:val="21"/>
              </w:rPr>
              <w:t xml:space="preserve"> </w:t>
            </w:r>
            <w:r>
              <w:rPr>
                <w:rFonts w:hint="eastAsia" w:cs="宋体" w:asciiTheme="minorEastAsia" w:hAnsiTheme="minorEastAsia"/>
                <w:b/>
                <w:szCs w:val="21"/>
              </w:rPr>
              <w:t>举例</w:t>
            </w:r>
            <w:r>
              <w:rPr>
                <w:rFonts w:cs="宋体" w:asciiTheme="minorEastAsia" w:hAnsiTheme="minorEastAsia"/>
                <w:b/>
                <w:szCs w:val="21"/>
              </w:rPr>
              <w:t xml:space="preserve"> </w:t>
            </w:r>
          </w:p>
        </w:tc>
      </w:tr>
      <w:tr>
        <w:tblPrEx>
          <w:tblCellMar>
            <w:top w:w="0" w:type="dxa"/>
            <w:left w:w="0" w:type="dxa"/>
            <w:bottom w:w="0" w:type="dxa"/>
            <w:right w:w="0" w:type="dxa"/>
          </w:tblCellMar>
        </w:tblPrEx>
        <w:trPr>
          <w:trHeight w:val="255" w:hRule="atLeast"/>
        </w:trPr>
        <w:tc>
          <w:tcPr>
            <w:tcW w:w="1276"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 xml:space="preserve"> </w:t>
            </w:r>
          </w:p>
        </w:tc>
        <w:tc>
          <w:tcPr>
            <w:tcW w:w="29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全陪导游员</w:t>
            </w:r>
            <w:r>
              <w:rPr>
                <w:rFonts w:ascii="仿宋" w:hAnsi="仿宋" w:eastAsia="仿宋" w:cs="宋体"/>
                <w:szCs w:val="21"/>
              </w:rPr>
              <w:t xml:space="preserve"> </w:t>
            </w:r>
          </w:p>
        </w:tc>
        <w:tc>
          <w:tcPr>
            <w:tcW w:w="4111" w:type="dxa"/>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导游人员资格证书</w:t>
            </w:r>
          </w:p>
        </w:tc>
      </w:tr>
      <w:tr>
        <w:tblPrEx>
          <w:tblCellMar>
            <w:top w:w="0" w:type="dxa"/>
            <w:left w:w="0" w:type="dxa"/>
            <w:bottom w:w="0" w:type="dxa"/>
            <w:right w:w="0" w:type="dxa"/>
          </w:tblCellMar>
        </w:tblPrEx>
        <w:trPr>
          <w:trHeight w:val="255"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spacing w:after="100" w:afterAutospacing="1"/>
              <w:jc w:val="center"/>
              <w:rPr>
                <w:rFonts w:ascii="仿宋" w:hAnsi="仿宋" w:eastAsia="仿宋" w:cs="宋体"/>
                <w:szCs w:val="21"/>
              </w:rPr>
            </w:pPr>
          </w:p>
        </w:tc>
        <w:tc>
          <w:tcPr>
            <w:tcW w:w="29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地陪导游员</w:t>
            </w:r>
            <w:r>
              <w:rPr>
                <w:rFonts w:ascii="仿宋" w:hAnsi="仿宋" w:eastAsia="仿宋" w:cs="宋体"/>
                <w:szCs w:val="21"/>
              </w:rPr>
              <w:t xml:space="preserve"> </w:t>
            </w:r>
          </w:p>
        </w:tc>
        <w:tc>
          <w:tcPr>
            <w:tcW w:w="411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 w:hAnsi="仿宋" w:eastAsia="仿宋" w:cs="宋体"/>
                <w:szCs w:val="21"/>
              </w:rPr>
            </w:pPr>
          </w:p>
        </w:tc>
      </w:tr>
      <w:tr>
        <w:tblPrEx>
          <w:tblCellMar>
            <w:top w:w="0" w:type="dxa"/>
            <w:left w:w="0" w:type="dxa"/>
            <w:bottom w:w="0" w:type="dxa"/>
            <w:right w:w="0" w:type="dxa"/>
          </w:tblCellMar>
        </w:tblPrEx>
        <w:tc>
          <w:tcPr>
            <w:tcW w:w="12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2</w:t>
            </w:r>
            <w:r>
              <w:rPr>
                <w:rFonts w:ascii="仿宋" w:hAnsi="仿宋" w:eastAsia="仿宋" w:cs="宋体"/>
                <w:szCs w:val="21"/>
              </w:rPr>
              <w:t xml:space="preserve"> </w:t>
            </w:r>
          </w:p>
        </w:tc>
        <w:tc>
          <w:tcPr>
            <w:tcW w:w="29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景区讲解员</w:t>
            </w:r>
            <w:r>
              <w:rPr>
                <w:rFonts w:ascii="仿宋" w:hAnsi="仿宋" w:eastAsia="仿宋" w:cs="宋体"/>
                <w:szCs w:val="21"/>
              </w:rPr>
              <w:t xml:space="preserve"> </w:t>
            </w:r>
          </w:p>
        </w:tc>
        <w:tc>
          <w:tcPr>
            <w:tcW w:w="411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讲解员职业资格证书</w:t>
            </w:r>
            <w:r>
              <w:rPr>
                <w:rFonts w:ascii="仿宋" w:hAnsi="仿宋" w:eastAsia="仿宋" w:cs="宋体"/>
                <w:szCs w:val="21"/>
              </w:rPr>
              <w:t xml:space="preserve"> </w:t>
            </w:r>
          </w:p>
        </w:tc>
      </w:tr>
      <w:tr>
        <w:tblPrEx>
          <w:tblCellMar>
            <w:top w:w="0" w:type="dxa"/>
            <w:left w:w="0" w:type="dxa"/>
            <w:bottom w:w="0" w:type="dxa"/>
            <w:right w:w="0" w:type="dxa"/>
          </w:tblCellMar>
        </w:tblPrEx>
        <w:tc>
          <w:tcPr>
            <w:tcW w:w="12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 xml:space="preserve"> </w:t>
            </w:r>
          </w:p>
        </w:tc>
        <w:tc>
          <w:tcPr>
            <w:tcW w:w="29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1+X研学旅行策划与管理导师</w:t>
            </w:r>
          </w:p>
        </w:tc>
        <w:tc>
          <w:tcPr>
            <w:tcW w:w="411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研学旅行策划与管理职业技能等级证书</w:t>
            </w:r>
          </w:p>
        </w:tc>
      </w:tr>
    </w:tbl>
    <w:p>
      <w:pPr>
        <w:pStyle w:val="3"/>
        <w:spacing w:before="190" w:after="190"/>
      </w:pPr>
      <w:bookmarkStart w:id="11" w:name="_Toc81163174"/>
      <w:r>
        <w:rPr>
          <w:rFonts w:hint="eastAsia"/>
        </w:rPr>
        <w:t>（二）拓展岗位及职业资格证书</w:t>
      </w:r>
      <w:bookmarkEnd w:id="11"/>
    </w:p>
    <w:tbl>
      <w:tblPr>
        <w:tblStyle w:val="37"/>
        <w:tblW w:w="8363" w:type="dxa"/>
        <w:tblInd w:w="329" w:type="dxa"/>
        <w:tblLayout w:type="autofit"/>
        <w:tblCellMar>
          <w:top w:w="0" w:type="dxa"/>
          <w:left w:w="0" w:type="dxa"/>
          <w:bottom w:w="0" w:type="dxa"/>
          <w:right w:w="0" w:type="dxa"/>
        </w:tblCellMar>
      </w:tblPr>
      <w:tblGrid>
        <w:gridCol w:w="1276"/>
        <w:gridCol w:w="2693"/>
        <w:gridCol w:w="4394"/>
      </w:tblGrid>
      <w:tr>
        <w:tblPrEx>
          <w:tblCellMar>
            <w:top w:w="0" w:type="dxa"/>
            <w:left w:w="0" w:type="dxa"/>
            <w:bottom w:w="0" w:type="dxa"/>
            <w:right w:w="0" w:type="dxa"/>
          </w:tblCellMar>
        </w:tblPrEx>
        <w:tc>
          <w:tcPr>
            <w:tcW w:w="1276" w:type="dxa"/>
            <w:tcBorders>
              <w:top w:val="single" w:color="auto" w:sz="6" w:space="0"/>
              <w:left w:val="single" w:color="auto" w:sz="6" w:space="0"/>
              <w:bottom w:val="single" w:color="auto" w:sz="6" w:space="0"/>
              <w:right w:val="single" w:color="auto"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序号</w:t>
            </w:r>
            <w:r>
              <w:rPr>
                <w:rFonts w:cs="宋体" w:asciiTheme="minorEastAsia" w:hAnsiTheme="minorEastAsia"/>
                <w:b/>
                <w:szCs w:val="21"/>
              </w:rPr>
              <w:t xml:space="preserve"> </w:t>
            </w:r>
          </w:p>
        </w:tc>
        <w:tc>
          <w:tcPr>
            <w:tcW w:w="269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对应职业</w:t>
            </w:r>
            <w:r>
              <w:rPr>
                <w:rFonts w:cs="宋体" w:asciiTheme="minorEastAsia" w:hAnsiTheme="minorEastAsia"/>
                <w:b/>
                <w:szCs w:val="21"/>
              </w:rPr>
              <w:t xml:space="preserve"> </w:t>
            </w:r>
            <w:r>
              <w:rPr>
                <w:rFonts w:hint="eastAsia" w:cs="宋体" w:asciiTheme="minorEastAsia" w:hAnsiTheme="minorEastAsia"/>
                <w:b/>
                <w:szCs w:val="21"/>
              </w:rPr>
              <w:t>（岗位）</w:t>
            </w:r>
            <w:r>
              <w:rPr>
                <w:rFonts w:cs="宋体" w:asciiTheme="minorEastAsia" w:hAnsiTheme="minorEastAsia"/>
                <w:b/>
                <w:szCs w:val="21"/>
              </w:rPr>
              <w:t xml:space="preserve"> </w:t>
            </w:r>
          </w:p>
        </w:tc>
        <w:tc>
          <w:tcPr>
            <w:tcW w:w="43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职业资格证书</w:t>
            </w:r>
            <w:r>
              <w:rPr>
                <w:rFonts w:cs="宋体" w:asciiTheme="minorEastAsia" w:hAnsiTheme="minorEastAsia"/>
                <w:b/>
                <w:szCs w:val="21"/>
              </w:rPr>
              <w:t xml:space="preserve"> </w:t>
            </w:r>
            <w:r>
              <w:rPr>
                <w:rFonts w:hint="eastAsia" w:cs="宋体" w:asciiTheme="minorEastAsia" w:hAnsiTheme="minorEastAsia"/>
                <w:b/>
                <w:szCs w:val="21"/>
              </w:rPr>
              <w:t>举例</w:t>
            </w:r>
            <w:r>
              <w:rPr>
                <w:rFonts w:cs="宋体" w:asciiTheme="minorEastAsia" w:hAnsiTheme="minorEastAsia"/>
                <w:b/>
                <w:szCs w:val="21"/>
              </w:rPr>
              <w:t xml:space="preserve"> </w:t>
            </w:r>
          </w:p>
        </w:tc>
      </w:tr>
      <w:tr>
        <w:tblPrEx>
          <w:tblCellMar>
            <w:top w:w="0" w:type="dxa"/>
            <w:left w:w="0" w:type="dxa"/>
            <w:bottom w:w="0" w:type="dxa"/>
            <w:right w:w="0" w:type="dxa"/>
          </w:tblCellMar>
        </w:tblPrEx>
        <w:tc>
          <w:tcPr>
            <w:tcW w:w="12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1</w:t>
            </w:r>
            <w:r>
              <w:rPr>
                <w:rFonts w:ascii="仿宋" w:hAnsi="仿宋" w:eastAsia="仿宋" w:cs="宋体"/>
                <w:szCs w:val="21"/>
              </w:rPr>
              <w:t xml:space="preserve"> </w:t>
            </w:r>
          </w:p>
        </w:tc>
        <w:tc>
          <w:tcPr>
            <w:tcW w:w="269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海外领队</w:t>
            </w:r>
            <w:r>
              <w:rPr>
                <w:rFonts w:ascii="仿宋" w:hAnsi="仿宋" w:eastAsia="仿宋" w:cs="宋体"/>
                <w:szCs w:val="21"/>
              </w:rPr>
              <w:t xml:space="preserve"> </w:t>
            </w:r>
          </w:p>
        </w:tc>
        <w:tc>
          <w:tcPr>
            <w:tcW w:w="43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海外领队证</w:t>
            </w:r>
            <w:r>
              <w:rPr>
                <w:rFonts w:ascii="仿宋" w:hAnsi="仿宋" w:eastAsia="仿宋" w:cs="宋体"/>
                <w:szCs w:val="21"/>
              </w:rPr>
              <w:t xml:space="preserve"> </w:t>
            </w:r>
          </w:p>
        </w:tc>
      </w:tr>
      <w:tr>
        <w:tblPrEx>
          <w:tblCellMar>
            <w:top w:w="0" w:type="dxa"/>
            <w:left w:w="0" w:type="dxa"/>
            <w:bottom w:w="0" w:type="dxa"/>
            <w:right w:w="0" w:type="dxa"/>
          </w:tblCellMar>
        </w:tblPrEx>
        <w:tc>
          <w:tcPr>
            <w:tcW w:w="1276"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2</w:t>
            </w:r>
            <w:r>
              <w:rPr>
                <w:rFonts w:ascii="仿宋" w:hAnsi="仿宋" w:eastAsia="仿宋" w:cs="宋体"/>
                <w:szCs w:val="21"/>
              </w:rPr>
              <w:t xml:space="preserve"> </w:t>
            </w:r>
          </w:p>
        </w:tc>
        <w:tc>
          <w:tcPr>
            <w:tcW w:w="269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茶艺师</w:t>
            </w:r>
            <w:r>
              <w:rPr>
                <w:rFonts w:ascii="仿宋" w:hAnsi="仿宋" w:eastAsia="仿宋" w:cs="宋体"/>
                <w:szCs w:val="21"/>
              </w:rPr>
              <w:t xml:space="preserve"> </w:t>
            </w:r>
          </w:p>
        </w:tc>
        <w:tc>
          <w:tcPr>
            <w:tcW w:w="439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茶艺师</w:t>
            </w:r>
            <w:r>
              <w:rPr>
                <w:rFonts w:ascii="仿宋" w:hAnsi="仿宋" w:eastAsia="仿宋" w:cs="宋体"/>
                <w:szCs w:val="21"/>
              </w:rPr>
              <w:t xml:space="preserve"> </w:t>
            </w:r>
            <w:r>
              <w:rPr>
                <w:rFonts w:hint="eastAsia" w:ascii="仿宋" w:hAnsi="仿宋" w:eastAsia="仿宋" w:cs="宋体"/>
                <w:szCs w:val="21"/>
              </w:rPr>
              <w:t>（五级）</w:t>
            </w:r>
            <w:r>
              <w:rPr>
                <w:rFonts w:ascii="仿宋" w:hAnsi="仿宋" w:eastAsia="仿宋" w:cs="宋体"/>
                <w:szCs w:val="21"/>
              </w:rPr>
              <w:t xml:space="preserve"> </w:t>
            </w:r>
          </w:p>
        </w:tc>
      </w:tr>
      <w:tr>
        <w:tblPrEx>
          <w:tblCellMar>
            <w:top w:w="0" w:type="dxa"/>
            <w:left w:w="0" w:type="dxa"/>
            <w:bottom w:w="0" w:type="dxa"/>
            <w:right w:w="0" w:type="dxa"/>
          </w:tblCellMar>
        </w:tblPrEx>
        <w:trPr>
          <w:trHeight w:val="450" w:hRule="atLeast"/>
        </w:trPr>
        <w:tc>
          <w:tcPr>
            <w:tcW w:w="1276" w:type="dxa"/>
            <w:tcBorders>
              <w:top w:val="single" w:color="000000" w:sz="6"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 xml:space="preserve"> </w:t>
            </w:r>
          </w:p>
        </w:tc>
        <w:tc>
          <w:tcPr>
            <w:tcW w:w="2693" w:type="dxa"/>
            <w:tcBorders>
              <w:top w:val="single" w:color="000000" w:sz="6"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咖啡师</w:t>
            </w:r>
            <w:r>
              <w:rPr>
                <w:rFonts w:ascii="仿宋" w:hAnsi="仿宋" w:eastAsia="仿宋" w:cs="宋体"/>
                <w:szCs w:val="21"/>
              </w:rPr>
              <w:t xml:space="preserve"> </w:t>
            </w:r>
          </w:p>
        </w:tc>
        <w:tc>
          <w:tcPr>
            <w:tcW w:w="4394" w:type="dxa"/>
            <w:tcBorders>
              <w:top w:val="single" w:color="000000" w:sz="6"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咖啡师</w:t>
            </w:r>
            <w:r>
              <w:rPr>
                <w:rFonts w:ascii="仿宋" w:hAnsi="仿宋" w:eastAsia="仿宋" w:cs="宋体"/>
                <w:szCs w:val="21"/>
              </w:rPr>
              <w:t xml:space="preserve"> </w:t>
            </w:r>
            <w:r>
              <w:rPr>
                <w:rFonts w:hint="eastAsia" w:ascii="仿宋" w:hAnsi="仿宋" w:eastAsia="仿宋" w:cs="宋体"/>
                <w:szCs w:val="21"/>
              </w:rPr>
              <w:t>（五级）</w:t>
            </w:r>
            <w:r>
              <w:rPr>
                <w:rFonts w:ascii="仿宋" w:hAnsi="仿宋" w:eastAsia="仿宋" w:cs="宋体"/>
                <w:szCs w:val="21"/>
              </w:rPr>
              <w:t xml:space="preserve"> </w:t>
            </w:r>
          </w:p>
        </w:tc>
      </w:tr>
      <w:tr>
        <w:tblPrEx>
          <w:tblCellMar>
            <w:top w:w="0" w:type="dxa"/>
            <w:left w:w="0" w:type="dxa"/>
            <w:bottom w:w="0" w:type="dxa"/>
            <w:right w:w="0" w:type="dxa"/>
          </w:tblCellMar>
        </w:tblPrEx>
        <w:trPr>
          <w:trHeight w:val="465" w:hRule="atLeast"/>
        </w:trPr>
        <w:tc>
          <w:tcPr>
            <w:tcW w:w="1276" w:type="dxa"/>
            <w:tcBorders>
              <w:top w:val="single" w:color="auto" w:sz="4"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4</w:t>
            </w:r>
          </w:p>
        </w:tc>
        <w:tc>
          <w:tcPr>
            <w:tcW w:w="2693" w:type="dxa"/>
            <w:tcBorders>
              <w:top w:val="single" w:color="auto" w:sz="4"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餐饮部服务员</w:t>
            </w:r>
            <w:r>
              <w:rPr>
                <w:rFonts w:ascii="仿宋" w:hAnsi="仿宋" w:eastAsia="仿宋" w:cs="宋体"/>
                <w:szCs w:val="21"/>
              </w:rPr>
              <w:t xml:space="preserve"> </w:t>
            </w:r>
          </w:p>
        </w:tc>
        <w:tc>
          <w:tcPr>
            <w:tcW w:w="4394" w:type="dxa"/>
            <w:tcBorders>
              <w:top w:val="single" w:color="auto" w:sz="4" w:space="0"/>
              <w:left w:val="single" w:color="000000" w:sz="6" w:space="0"/>
              <w:bottom w:val="single" w:color="auto" w:sz="4" w:space="0"/>
              <w:right w:val="single" w:color="000000" w:sz="6" w:space="0"/>
            </w:tcBorders>
            <w:tcMar>
              <w:top w:w="0" w:type="dxa"/>
              <w:left w:w="45" w:type="dxa"/>
              <w:bottom w:w="0" w:type="dxa"/>
              <w:right w:w="0" w:type="dxa"/>
            </w:tcMar>
            <w:vAlign w:val="center"/>
          </w:tcPr>
          <w:p>
            <w:pPr>
              <w:spacing w:after="100" w:afterAutospacing="1"/>
              <w:jc w:val="center"/>
              <w:rPr>
                <w:rFonts w:ascii="仿宋" w:hAnsi="仿宋" w:eastAsia="仿宋" w:cs="宋体"/>
                <w:szCs w:val="21"/>
              </w:rPr>
            </w:pPr>
            <w:r>
              <w:rPr>
                <w:rFonts w:hint="eastAsia" w:ascii="仿宋" w:hAnsi="仿宋" w:eastAsia="仿宋" w:cs="宋体"/>
                <w:szCs w:val="21"/>
              </w:rPr>
              <w:t>餐饮服务员（五级）</w:t>
            </w:r>
            <w:r>
              <w:rPr>
                <w:rFonts w:ascii="仿宋" w:hAnsi="仿宋" w:eastAsia="仿宋" w:cs="宋体"/>
                <w:szCs w:val="21"/>
              </w:rPr>
              <w:t xml:space="preserve"> </w:t>
            </w:r>
          </w:p>
        </w:tc>
      </w:tr>
    </w:tbl>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说明：可根据区域实际情况和专业（技能方向）取得1或2</w:t>
      </w:r>
      <w:bookmarkStart w:id="12" w:name="_Toc395088531"/>
      <w:bookmarkStart w:id="13" w:name="_Toc442023764"/>
      <w:r>
        <w:rPr>
          <w:rFonts w:hint="eastAsia" w:asciiTheme="minorEastAsia" w:hAnsiTheme="minorEastAsia"/>
          <w:sz w:val="28"/>
          <w:szCs w:val="28"/>
        </w:rPr>
        <w:t>个证书。</w:t>
      </w:r>
    </w:p>
    <w:p>
      <w:pPr>
        <w:pStyle w:val="2"/>
        <w:spacing w:before="190" w:after="190"/>
      </w:pPr>
      <w:bookmarkStart w:id="14" w:name="_Toc81163175"/>
      <w:r>
        <w:rPr>
          <w:rFonts w:hint="eastAsia"/>
        </w:rPr>
        <w:t>五、培养目标</w:t>
      </w:r>
      <w:bookmarkEnd w:id="12"/>
      <w:r>
        <w:rPr>
          <w:rFonts w:hint="eastAsia"/>
        </w:rPr>
        <w:t>与人才规格</w:t>
      </w:r>
      <w:bookmarkEnd w:id="13"/>
      <w:bookmarkEnd w:id="14"/>
    </w:p>
    <w:p>
      <w:pPr>
        <w:pStyle w:val="3"/>
        <w:spacing w:before="190" w:after="190"/>
      </w:pPr>
      <w:bookmarkStart w:id="15" w:name="_Toc81163176"/>
      <w:r>
        <w:rPr>
          <w:rFonts w:hint="eastAsia"/>
        </w:rPr>
        <w:t>（一）培养目标</w:t>
      </w:r>
      <w:bookmarkEnd w:id="15"/>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本专业坚持立德树人，依据四川省及成都市旅游业发展人才需要，以我校“升学有望、就业有路、出国有门”的办学思路，以“好就业、就好业”“工作有能力、升学有基础”为导向,确立校企共育、工学结合的人才培养模式，培养与我国社会主义现代化建设要求相适应，具有良好的职业道德和身体素质，具有较高文化修养和审美能力，较强的实践能力和创新精神，从事旅行社、风景区、展览馆、博物馆、高星级饭店及同类型企业餐饮等岗位工作，具备旅行社管理能力、旅游景区管理能力、酒店基层管理能力，德智体美全面发展的高素质劳动者和技能型人才。</w:t>
      </w:r>
    </w:p>
    <w:p>
      <w:pPr>
        <w:pStyle w:val="3"/>
        <w:spacing w:before="190" w:after="190"/>
      </w:pPr>
      <w:bookmarkStart w:id="16" w:name="_Toc81163177"/>
      <w:r>
        <w:rPr>
          <w:rFonts w:hint="eastAsia"/>
        </w:rPr>
        <w:t>（二）人才规格</w:t>
      </w:r>
      <w:bookmarkEnd w:id="16"/>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本专业毕业生应具有以下职业素养、专业知识和专业技能：</w:t>
      </w:r>
    </w:p>
    <w:p>
      <w:pPr>
        <w:ind w:firstLine="560" w:firstLineChars="200"/>
        <w:rPr>
          <w:rFonts w:asciiTheme="minorEastAsia" w:hAnsiTheme="minorEastAsia"/>
          <w:sz w:val="28"/>
          <w:szCs w:val="28"/>
        </w:rPr>
      </w:pPr>
      <w:r>
        <w:rPr>
          <w:rFonts w:hint="eastAsia" w:asciiTheme="minorEastAsia" w:hAnsiTheme="minorEastAsia"/>
          <w:sz w:val="28"/>
          <w:szCs w:val="28"/>
        </w:rPr>
        <w:t>1.职业素养</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（1）具有实现中国梦的远大理想，热爱祖国、热爱人民、热爱中国共产党、拥护党的领导。</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（2）具有良好职业道德，自觉遵守行业法规、规范和企业规章制度。</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（3）具有主动、热情、甘于奉献的服务意识，诚实守信、爱岗敬业。</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（4）具有较强的安全意识和节能环保意识。</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（5）乐于与人交往，具有良好的人际沟通能力和团队协作精神。</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（6）具有较好的心理素质和健康的体魄。</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（7）具有吃苦耐劳、刻苦钻研的精神。</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32"/>
          <w:szCs w:val="32"/>
        </w:rPr>
      </w:pPr>
      <w:r>
        <w:rPr>
          <w:rFonts w:hint="eastAsia" w:asciiTheme="minorEastAsia" w:hAnsiTheme="minorEastAsia"/>
          <w:sz w:val="28"/>
          <w:szCs w:val="28"/>
        </w:rPr>
        <w:t>（8）具有适应行业变化、自我提升的潜质和创新创业的意识。</w:t>
      </w:r>
      <w:r>
        <w:rPr>
          <w:rFonts w:asciiTheme="minorEastAsia" w:hAnsiTheme="minorEastAsia"/>
          <w:sz w:val="32"/>
          <w:szCs w:val="32"/>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2.专业知识</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（1）掌握汉语相关知识，能使用标准的普通话进行服务，普通话达到二级乙等及以上水平。</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（2）掌握外语技能，能使用常用旅游英语口语表达，进行一般接待服务和业务沟通。</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（3）掌握现代办公设备技术，能利用计算机解决学习、工作、生活中常见问题的基本能力。</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（4）掌握必需的旅游业知识，达到岗位服务要求。</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（5）掌握旅行社运营知识，熟悉部门分工，胜任旅行社的基层岗位。</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（6）掌握旅游政策法规知识，能解决旅游接待过程中实际问题。</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（7）掌握服务心理学知识，能进行自我心理调适，并能与客人有效沟通并获得认可。</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（8）掌握星级饭店各种产品，熟悉部门分工，能够运用主要服务用语。</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（9）掌握饭店服务与管理基础知识、基本技能、礼仪知识、卫生健康知识、食品营养知识、和酒水知识。</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（10）把握现代服务业发展趋势，创造性的开展服务工作，满足宾客个性化的要求。</w:t>
      </w:r>
      <w:r>
        <w:rPr>
          <w:rFonts w:asciiTheme="minorEastAsia" w:hAnsiTheme="minorEastAsia"/>
          <w:sz w:val="28"/>
          <w:szCs w:val="28"/>
        </w:rPr>
        <w:t xml:space="preserve"> </w:t>
      </w:r>
    </w:p>
    <w:p>
      <w:pPr>
        <w:adjustRightInd w:val="0"/>
        <w:snapToGrid w:val="0"/>
        <w:ind w:firstLine="560" w:firstLineChars="200"/>
        <w:jc w:val="left"/>
        <w:rPr>
          <w:rFonts w:asciiTheme="minorEastAsia" w:hAnsiTheme="minorEastAsia"/>
          <w:sz w:val="28"/>
          <w:szCs w:val="28"/>
        </w:rPr>
      </w:pPr>
      <w:r>
        <w:rPr>
          <w:rFonts w:hint="eastAsia" w:asciiTheme="minorEastAsia" w:hAnsiTheme="minorEastAsia"/>
          <w:sz w:val="28"/>
          <w:szCs w:val="28"/>
        </w:rPr>
        <w:t>（11）取得导游证、景区讲解员、研学旅行策划与管理导师、餐饮部服务员、茶艺师等1或2种职业资格证书。</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3.专业技能</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（1）具备旅行社导游服务相关的人文知识和业务知识，能在工作中有效运用。</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（2）具备省内主要旅游景点（区）及常规旅游线路的讲解能力。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（3）具备按照导游接待服务程序和规范要求完成导游接待服务工作的能力。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（4）具备旅游应急处理知识，能处理旅游服务过程中各种突发事件的能力。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（5）具备当地餐饮、住宿、交通、景点（区）、娱乐项目等基本接待信息的收集应用能力。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（6）具备识读旅游地图，并正确使用地图工具标志和解读旅游资源的能力。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（7）具备旅游产品知识，能协助客户完成旅游产品预定及变更的能力。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（8）具备旅游社计调、外联的业务知识，能提供旅游行程及价格咨询的能力。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（9）具备景区讲解的知识与技能，能参与景区服务接待，完成景区讲解服务工作，并能处理常见问题。</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（10）具备会议服务知识与技能，能参与高星级饭店会议服务接待与运营，能娴熟地完成会议服务工作，并能处理常见问题。</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（11）具备餐饮服务知识与技能，能参与高星级饭店餐厅服务接待与运营，能娴熟的完成中餐零点、中餐宴会等服务工作，处理餐厅运用与管理过程中的常见问题。</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（12）具备菜点和酒水的基础知识，能针对不同菜肴、面点、酒水的特点提供相应服务。</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（13）具备茶的基础知识及茶艺服务的相关知识和技能，能参与茶坊服务接待，完成茶艺相关服务工作，并能处理常见问题。</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（14）具备安全使用及日常维护与保养相关工作设备的能力，具有使用、指导使用、日常维护相关可用设施设备的能力。</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（15）具备熟练的使用信息管理系统、应用办公等软件对客服务的能力，处理相关的电子资料。</w:t>
      </w:r>
      <w:r>
        <w:rPr>
          <w:rFonts w:asciiTheme="minorEastAsia" w:hAnsiTheme="minorEastAsia"/>
          <w:sz w:val="28"/>
          <w:szCs w:val="28"/>
        </w:rPr>
        <w:t xml:space="preserve"> </w:t>
      </w:r>
    </w:p>
    <w:p>
      <w:pPr>
        <w:pStyle w:val="2"/>
        <w:spacing w:before="190" w:after="190"/>
      </w:pPr>
      <w:bookmarkStart w:id="17" w:name="_Toc442023766"/>
      <w:bookmarkStart w:id="18" w:name="_Toc81163178"/>
      <w:r>
        <w:rPr>
          <w:rFonts w:hint="eastAsia"/>
        </w:rPr>
        <w:t>六、</w:t>
      </w:r>
      <w:bookmarkEnd w:id="17"/>
      <w:r>
        <w:rPr>
          <w:rFonts w:hint="eastAsia"/>
        </w:rPr>
        <w:t>课程设置及要求</w:t>
      </w:r>
      <w:bookmarkEnd w:id="18"/>
    </w:p>
    <w:p>
      <w:pPr>
        <w:pStyle w:val="3"/>
        <w:spacing w:before="190" w:after="190"/>
      </w:pPr>
      <w:bookmarkStart w:id="19" w:name="_Toc81163179"/>
      <w:r>
        <w:rPr>
          <w:rFonts w:hint="eastAsia"/>
        </w:rPr>
        <w:t>（一）模块化课程设置说明</w:t>
      </w:r>
      <w:bookmarkEnd w:id="19"/>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基于大量的追踪调研数据及资料，旅游教研组通过对本专业对口的主要工作岗位、工作任务、职业能力、对应支撑课程进行深入分析和综合论证，将课程设置分为四大模块，即公共基础模块、专业基础模块、专业方向模块、专业嵌入模块。其中，公共基础课程模块是基础，培养每个学生必须具备的基本素质和基本素养；专业基础模块是学生认知专业方向的基础，是职业技能培养的准备阶段；专业方向课程模块是专业技能培养的核心和主线，直接对接学生毕业后的主要就业岗位；专业嵌入模块是结合职业教育的特点，以及旅游人才培养的规律，设置的特色模块，旨在通过实践强化学生的职业能力。以上四个模块共同完成了本专业“</w:t>
      </w:r>
      <w:r>
        <w:rPr>
          <w:rFonts w:asciiTheme="minorEastAsia" w:hAnsiTheme="minorEastAsia"/>
          <w:sz w:val="28"/>
          <w:szCs w:val="28"/>
        </w:rPr>
        <w:t>任务驱动、项目引领、</w:t>
      </w:r>
      <w:r>
        <w:rPr>
          <w:rFonts w:hint="eastAsia" w:asciiTheme="minorEastAsia" w:hAnsiTheme="minorEastAsia"/>
          <w:sz w:val="28"/>
          <w:szCs w:val="28"/>
        </w:rPr>
        <w:t>行动导向”的教学模式改革。</w:t>
      </w:r>
    </w:p>
    <w:p>
      <w:pPr>
        <w:pStyle w:val="3"/>
        <w:spacing w:before="190" w:after="190"/>
      </w:pPr>
      <w:bookmarkStart w:id="20" w:name="_Toc81163180"/>
      <w:r>
        <w:rPr>
          <w:rFonts w:hint="eastAsia"/>
        </w:rPr>
        <w:t>（二）模块化课程体系结构框架</w:t>
      </w:r>
      <w:bookmarkEnd w:id="20"/>
    </w:p>
    <w:p>
      <w:pPr>
        <w:jc w:val="center"/>
        <w:rPr>
          <w:rFonts w:ascii="仿宋_GB2312" w:eastAsia="仿宋_GB2312"/>
          <w:color w:val="000000"/>
          <w:sz w:val="24"/>
          <w:szCs w:val="24"/>
        </w:rPr>
      </w:pPr>
      <w:r>
        <w:rPr>
          <w:rFonts w:hint="eastAsia" w:ascii="仿宋_GB2312" w:eastAsia="仿宋_GB2312"/>
          <w:color w:val="000000"/>
          <w:sz w:val="24"/>
          <w:szCs w:val="24"/>
        </w:rPr>
        <w:drawing>
          <wp:inline distT="0" distB="0" distL="114300" distR="114300">
            <wp:extent cx="5819140" cy="6064885"/>
            <wp:effectExtent l="0" t="0" r="2540" b="635"/>
            <wp:docPr id="2" name="图片 2" descr="旅游专业课程体系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专业课程体系 (2)"/>
                    <pic:cNvPicPr>
                      <a:picLocks noChangeAspect="1"/>
                    </pic:cNvPicPr>
                  </pic:nvPicPr>
                  <pic:blipFill>
                    <a:blip r:embed="rId9"/>
                    <a:stretch>
                      <a:fillRect/>
                    </a:stretch>
                  </pic:blipFill>
                  <pic:spPr>
                    <a:xfrm>
                      <a:off x="0" y="0"/>
                      <a:ext cx="5819140" cy="6064885"/>
                    </a:xfrm>
                    <a:prstGeom prst="rect">
                      <a:avLst/>
                    </a:prstGeom>
                  </pic:spPr>
                </pic:pic>
              </a:graphicData>
            </a:graphic>
          </wp:inline>
        </w:drawing>
      </w:r>
    </w:p>
    <w:p>
      <w:pPr>
        <w:jc w:val="center"/>
        <w:rPr>
          <w:rFonts w:ascii="仿宋_GB2312" w:eastAsia="仿宋_GB2312"/>
          <w:color w:val="000000"/>
          <w:sz w:val="24"/>
          <w:szCs w:val="24"/>
        </w:rPr>
      </w:pPr>
      <w:r>
        <w:rPr>
          <w:rFonts w:hint="eastAsia" w:ascii="仿宋_GB2312" w:eastAsia="仿宋_GB2312"/>
          <w:color w:val="000000"/>
          <w:sz w:val="24"/>
          <w:szCs w:val="24"/>
        </w:rPr>
        <w:t>课程体系结构框架图</w:t>
      </w:r>
    </w:p>
    <w:p>
      <w:pPr>
        <w:pStyle w:val="3"/>
        <w:spacing w:before="190" w:after="190"/>
      </w:pPr>
      <w:bookmarkStart w:id="21" w:name="_Toc81163181"/>
      <w:r>
        <w:rPr>
          <w:rFonts w:hint="eastAsia"/>
        </w:rPr>
        <w:t>（三）课程设置说明</w:t>
      </w:r>
      <w:bookmarkEnd w:id="21"/>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本专业课程设置分为公共基础课和专业（技能）课。</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公共基础课包括德育课、文化课、体育与健康、公共艺术、历史，以及其他自然科学和人文科学类基础课。</w:t>
      </w:r>
      <w:r>
        <w:rPr>
          <w:rFonts w:asciiTheme="minorEastAsia" w:hAnsiTheme="minorEastAsia"/>
          <w:sz w:val="28"/>
          <w:szCs w:val="28"/>
        </w:rPr>
        <w:t xml:space="preserve"> </w:t>
      </w:r>
      <w:r>
        <w:rPr>
          <w:rFonts w:hint="eastAsia" w:asciiTheme="minorEastAsia" w:hAnsiTheme="minorEastAsia"/>
          <w:sz w:val="28"/>
          <w:szCs w:val="28"/>
        </w:rPr>
        <w:t>专业（技能）课包括专业基础课程、专业（技能）方向课程和专业嵌入课程，实习实训是专业技能课教学的重要内容，含校外实训、顶岗实习等多种形式。</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1.公共基础课</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开设公共基础课程主要目的是培养学生的职业素养，分别从社会人文素养、道德法制素养、文化基础知识及实践来进行课程设置（见表1），为学生进一步学习和提升提供科学的方法论，力求培养德、智、体、美、劳全面发展人才。</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表1 公共基础课程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03"/>
        <w:gridCol w:w="1134"/>
        <w:gridCol w:w="567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80" w:hRule="atLeast"/>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after="100" w:afterAutospacing="1"/>
              <w:rPr>
                <w:rFonts w:cs="宋体" w:asciiTheme="minorEastAsia" w:hAnsiTheme="minorEastAsia"/>
                <w:b/>
                <w:szCs w:val="21"/>
              </w:rPr>
            </w:pPr>
            <w:r>
              <w:rPr>
                <w:rFonts w:hint="eastAsia" w:cs="宋体" w:asciiTheme="minorEastAsia" w:hAnsiTheme="minorEastAsia"/>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课程名称</w:t>
            </w:r>
          </w:p>
        </w:tc>
        <w:tc>
          <w:tcPr>
            <w:tcW w:w="5670"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主要教学内容与教学目标</w:t>
            </w:r>
          </w:p>
        </w:tc>
        <w:tc>
          <w:tcPr>
            <w:tcW w:w="1848"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思想政治课</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职业生涯规划教学大纲》、中等职业学校职业道德与法律教学大纲》、《中等职业学校政治经济与社会教学大纲》、《中等职业学校哲学与人生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本课程主要对学生进行职业生涯规则、职业道德与法律、经济政治与社会、哲学与人生等内容的教育和教学。</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对学生进行科学有效的职业生涯规划指导，激发学生职业生涯发展的自主意识，树立正确的就业观，促使学生理性地规划自身未来的发展，并努力在学习过程中自觉地提升就业能力和职业生涯管理能力。帮助学生提高思想道德修养和法律修养，树立正确的世界观、人生观、价值观和法制观，树立远大崇高的理想，培养完善的人格和良好的心理素质。使学生较为全面系统地掌握认识形势与政策问题的基本理论和基础知识，学会正确的形势与政策分析方法，掌握正确理解政策的途径；引导和帮助学生对国内外重大事件、社会热点和难点等问题进行思考，提高分析和判断能力，使之能科学预测和准确把握形势与政策发展的客观规律，形成正确的政治观。帮助学生建立正确的人生观念，正视现实，自强不息，尊重规律，树立脚踏实地的人生态度与观念。并且运用知识把握客观规律，判明客观实际，并在此基础上进行人生选择的基本能力。</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jc w:val="left"/>
              <w:rPr>
                <w:rFonts w:ascii="仿宋" w:hAnsi="仿宋" w:eastAsia="仿宋" w:cs="宋体"/>
                <w:szCs w:val="21"/>
              </w:rPr>
            </w:pPr>
            <w:r>
              <w:rPr>
                <w:rFonts w:hint="eastAsia" w:ascii="仿宋" w:hAnsi="仿宋" w:eastAsia="仿宋" w:cs="宋体"/>
                <w:szCs w:val="21"/>
              </w:rPr>
              <w:t>1.过程性考试成绩:30%</w:t>
            </w:r>
          </w:p>
          <w:p>
            <w:pPr>
              <w:adjustRightInd w:val="0"/>
              <w:snapToGrid w:val="0"/>
              <w:jc w:val="left"/>
              <w:rPr>
                <w:rFonts w:ascii="仿宋" w:hAnsi="仿宋" w:eastAsia="仿宋" w:cs="宋体"/>
                <w:szCs w:val="21"/>
              </w:rPr>
            </w:pPr>
            <w:r>
              <w:rPr>
                <w:rFonts w:hint="eastAsia" w:ascii="仿宋" w:hAnsi="仿宋" w:eastAsia="仿宋" w:cs="宋体"/>
                <w:szCs w:val="21"/>
              </w:rPr>
              <w:t>2.期末闭卷考试成绩:70%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历史</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依据《中等职业学校历史教学大纲》开设，并与专业实际和行业发展密切结合。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学习中国古代史、中国近代史和中国现代史等内容。</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学习让学生了解中华民族的灿烂文化和悠久历史，增强民族的自豪感和凝聚力；通过与发达国家经济、科学技术、社会发展相比较，进一步了解国情、增强使命感，通过吸取东欧、苏联社会主义改革失败的教训，深刻理解新时期党中央制定的各项政策方针，树立为振兴中华而刻苦学习的伟大抱负；读史可以明鉴，历史能为当代人的生活提供借鉴，增强学生对事物做出正确的分析和判断的能力，激发个人的聪明才智。</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jc w:val="left"/>
              <w:rPr>
                <w:rFonts w:ascii="仿宋" w:hAnsi="仿宋" w:eastAsia="仿宋" w:cs="宋体"/>
                <w:szCs w:val="21"/>
              </w:rPr>
            </w:pPr>
            <w:r>
              <w:rPr>
                <w:rFonts w:hint="eastAsia" w:ascii="仿宋" w:hAnsi="仿宋" w:eastAsia="仿宋" w:cs="宋体"/>
                <w:szCs w:val="21"/>
              </w:rPr>
              <w:t>1.过程性考试成绩:30%</w:t>
            </w:r>
          </w:p>
          <w:p>
            <w:pPr>
              <w:adjustRightInd w:val="0"/>
              <w:snapToGrid w:val="0"/>
              <w:jc w:val="left"/>
              <w:rPr>
                <w:rFonts w:ascii="仿宋" w:hAnsi="仿宋" w:eastAsia="仿宋" w:cs="宋体"/>
                <w:szCs w:val="21"/>
              </w:rPr>
            </w:pPr>
            <w:r>
              <w:rPr>
                <w:rFonts w:hint="eastAsia" w:ascii="仿宋" w:hAnsi="仿宋" w:eastAsia="仿宋" w:cs="宋体"/>
                <w:szCs w:val="21"/>
              </w:rPr>
              <w:t>2.期末开卷考试成绩:70%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仿宋" w:hAnsi="仿宋" w:eastAsia="仿宋" w:cs="宋体"/>
                <w:szCs w:val="21"/>
              </w:rPr>
            </w:pPr>
            <w:r>
              <w:rPr>
                <w:rFonts w:hint="eastAsia" w:ascii="仿宋" w:hAnsi="仿宋" w:eastAsia="仿宋" w:cs="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10" w:firstLineChars="100"/>
              <w:jc w:val="left"/>
              <w:rPr>
                <w:rFonts w:ascii="仿宋" w:hAnsi="仿宋" w:eastAsia="仿宋" w:cs="宋体"/>
                <w:szCs w:val="21"/>
              </w:rPr>
            </w:pPr>
            <w:r>
              <w:rPr>
                <w:rFonts w:hint="eastAsia" w:ascii="仿宋" w:hAnsi="仿宋" w:eastAsia="仿宋" w:cs="宋体"/>
                <w:szCs w:val="21"/>
              </w:rPr>
              <w:t>语文</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依据《中等职业学校语文教学大纲》开设，并与专业实际和行业发展密切结合。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进一步提高学生的语文素养，继续关注学生的语言积累以及语感和思维的发展，帮助学生在阅读与欣赏、表达与交流的实践中，掌握学习语文的方法，增强语文应用能力，培养审美能力、探究能力。</w:t>
            </w:r>
            <w:r>
              <w:rPr>
                <w:rFonts w:ascii="仿宋" w:hAnsi="仿宋" w:eastAsia="仿宋" w:cs="宋体"/>
                <w:szCs w:val="21"/>
              </w:rPr>
              <w:t xml:space="preserve"> </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通过必修课程的学习，提高学生思想文化修养和语言文字的运用能力，在语文的应用、审美和探究等方面得到比较协调的发展。</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2.作业、技能月考：30%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数学</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依据《中等职业学校数学教学大纲》开设，并与专业实际和行业发展密切结合。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在初中数学的基础上，进一步学习数学的基础知识。</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通过教学，提高学生的数学素养，培养学生的基本运算、基本计算工具使用、空间想象、数形结合、思维和简单实际应用等能力，为学习专业课程打下基础。</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1.考勤及课堂表现：20%</w:t>
            </w:r>
          </w:p>
          <w:p>
            <w:pPr>
              <w:adjustRightInd w:val="0"/>
              <w:snapToGrid w:val="0"/>
              <w:jc w:val="left"/>
              <w:rPr>
                <w:rFonts w:ascii="仿宋" w:hAnsi="仿宋" w:eastAsia="仿宋" w:cs="宋体"/>
                <w:szCs w:val="21"/>
              </w:rPr>
            </w:pPr>
            <w:r>
              <w:rPr>
                <w:rFonts w:hint="eastAsia" w:ascii="仿宋" w:hAnsi="仿宋" w:eastAsia="仿宋" w:cs="宋体"/>
                <w:szCs w:val="21"/>
              </w:rPr>
              <w:t>2.作业：20%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仿宋" w:hAnsi="仿宋" w:eastAsia="仿宋" w:cs="宋体"/>
                <w:szCs w:val="21"/>
              </w:rPr>
            </w:pPr>
            <w:r>
              <w:rPr>
                <w:rFonts w:hint="eastAsia" w:ascii="仿宋" w:hAnsi="仿宋" w:eastAsia="仿宋" w:cs="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英语</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依据《中等职业学校英语教学大纲》开设，并与专业实际和行业发展密切结合。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使学生掌握一定的英语基础知识和基本技能，培养学生在日常生活和职业场景中英语应用能力；培养学生的文化意识，为学生的职业生涯、继续学习和终身发展奠定基础；同时，本课程是《旅游岗位英语》的基础课程，使学生了解、掌握一定的专业词汇与术语，为第二学年旅游岗位英语知识的学习打下基础。</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帮助学生进一步学习英语基础知识，培养听、说、读、写等语言技能，初步培养旅游英语的应用能力，为旅游岗位英语的学习奠定基础；激发和培养学生学习英语的兴趣，提高学生学习的自信心，帮助学生掌养成良好的学习习惯，提高自主学习能力。</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2.作业、技能月考：30%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仿宋" w:hAnsi="仿宋" w:eastAsia="仿宋" w:cs="宋体"/>
                <w:szCs w:val="21"/>
              </w:rPr>
            </w:pPr>
            <w:r>
              <w:rPr>
                <w:rFonts w:hint="eastAsia" w:ascii="仿宋" w:hAnsi="仿宋" w:eastAsia="仿宋" w:cs="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信息技术</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依据《中等职业学校计算机应用基础教学大纲》开设，并与专业实际和行业发展密切结合。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使学生掌握一定的计算机基础知识，操作系统的基本功能和作用；掌握Windows的基本操作和应用;文字处理的基本知识;电子表格软件基本知识;演示文稿的基本知识，掌握PowerPoint的基本操作和应用;计算机网络的基本概念和因特网的初步知识，掌握因特网的简单运用;多媒体和数据库应用基础知识。在学习掌握计算机的基础知识之后进行办公自动化学习，让学生更加深入的学习windows操作系统使用，Word运用，Excel运用，PowerPoint运用，Internet运用，办公设备运用。</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本课程是《办公自动化》课程的基础课程，通过本课程的学习，旨在传授计算机文化、培养计算机信息技术应用能力，使学生具备必要的计算机文化基础，为后续的《办公自动化》课程的学习打下坚实的基础，使学生掌握至少一种汉字的输入方法，熟悉办公软件，掌握Word、Excel、ppt的简单使用方法。</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计算机应用基础考试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2.作业、技能月考：30%</w:t>
            </w:r>
          </w:p>
          <w:p>
            <w:pPr>
              <w:adjustRightInd w:val="0"/>
              <w:snapToGrid w:val="0"/>
              <w:jc w:val="left"/>
              <w:rPr>
                <w:rFonts w:ascii="仿宋" w:hAnsi="仿宋" w:eastAsia="仿宋" w:cs="宋体"/>
                <w:szCs w:val="21"/>
              </w:rPr>
            </w:pPr>
            <w:r>
              <w:rPr>
                <w:rFonts w:hint="eastAsia" w:ascii="仿宋" w:hAnsi="仿宋" w:eastAsia="仿宋" w:cs="宋体"/>
                <w:szCs w:val="21"/>
              </w:rPr>
              <w:t xml:space="preserve">3.期末考试：60% </w:t>
            </w:r>
          </w:p>
          <w:p>
            <w:pPr>
              <w:adjustRightInd w:val="0"/>
              <w:snapToGrid w:val="0"/>
              <w:jc w:val="left"/>
              <w:rPr>
                <w:rFonts w:ascii="仿宋" w:hAnsi="仿宋" w:eastAsia="仿宋" w:cs="宋体"/>
                <w:szCs w:val="21"/>
              </w:rPr>
            </w:pPr>
            <w:r>
              <w:rPr>
                <w:rFonts w:hint="eastAsia" w:ascii="仿宋" w:hAnsi="仿宋" w:eastAsia="仿宋" w:cs="宋体"/>
                <w:szCs w:val="21"/>
              </w:rPr>
              <w:t>办公自动化考试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2.作业、技能月考：30%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rPr>
                <w:rFonts w:ascii="仿宋" w:hAnsi="仿宋" w:eastAsia="仿宋" w:cs="宋体"/>
                <w:szCs w:val="21"/>
              </w:rPr>
            </w:pPr>
            <w:r>
              <w:rPr>
                <w:rFonts w:hint="eastAsia" w:ascii="仿宋" w:hAnsi="仿宋" w:eastAsia="仿宋" w:cs="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体育与健康</w:t>
            </w:r>
          </w:p>
        </w:tc>
        <w:tc>
          <w:tcPr>
            <w:tcW w:w="56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依据《中等职业学校体育与健康教学大纲》开设，并与专业实际和行业发展密切结合。</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基本的体育理论以及田径、球类、健美操、武术等项目的基本知识、技术、技能。</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提高学生体能和运动技能水平；增强体育实践能力和创新能力；发展良好的心理品质，增强人际交往技能和团队意识；形成运动爱好和专长，培养终身体育的意识和习惯。</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jc w:val="left"/>
              <w:rPr>
                <w:rFonts w:ascii="仿宋" w:hAnsi="仿宋" w:eastAsia="仿宋" w:cs="宋体"/>
                <w:szCs w:val="21"/>
              </w:rPr>
            </w:pPr>
            <w:r>
              <w:rPr>
                <w:rFonts w:hint="eastAsia" w:ascii="仿宋" w:hAnsi="仿宋" w:eastAsia="仿宋" w:cs="宋体"/>
                <w:szCs w:val="21"/>
              </w:rPr>
              <w:t>1.平时表现、出勤率、学习态度占10%</w:t>
            </w:r>
          </w:p>
          <w:p>
            <w:pPr>
              <w:adjustRightInd w:val="0"/>
              <w:snapToGrid w:val="0"/>
              <w:jc w:val="left"/>
              <w:rPr>
                <w:rFonts w:ascii="仿宋" w:hAnsi="仿宋" w:eastAsia="仿宋" w:cs="宋体"/>
                <w:szCs w:val="21"/>
              </w:rPr>
            </w:pPr>
            <w:r>
              <w:rPr>
                <w:rFonts w:hint="eastAsia" w:ascii="仿宋" w:hAnsi="仿宋" w:eastAsia="仿宋" w:cs="宋体"/>
                <w:szCs w:val="21"/>
              </w:rPr>
              <w:t>2．课堂考核占25%</w:t>
            </w:r>
          </w:p>
          <w:p>
            <w:pPr>
              <w:adjustRightInd w:val="0"/>
              <w:snapToGrid w:val="0"/>
              <w:jc w:val="left"/>
              <w:rPr>
                <w:rFonts w:ascii="仿宋" w:hAnsi="仿宋" w:eastAsia="仿宋" w:cs="宋体"/>
                <w:szCs w:val="21"/>
              </w:rPr>
            </w:pPr>
            <w:r>
              <w:rPr>
                <w:rFonts w:hint="eastAsia" w:ascii="仿宋" w:hAnsi="仿宋" w:eastAsia="仿宋" w:cs="宋体"/>
                <w:szCs w:val="21"/>
              </w:rPr>
              <w:t>3．期末考查：占总成绩的65%</w:t>
            </w:r>
          </w:p>
        </w:tc>
      </w:tr>
    </w:tbl>
    <w:p>
      <w:pPr>
        <w:ind w:firstLine="560" w:firstLineChars="200"/>
        <w:rPr>
          <w:rFonts w:asciiTheme="minorEastAsia" w:hAnsiTheme="minorEastAsia"/>
          <w:sz w:val="28"/>
          <w:szCs w:val="28"/>
        </w:rPr>
      </w:pPr>
      <w:r>
        <w:rPr>
          <w:rFonts w:hint="eastAsia" w:asciiTheme="minorEastAsia" w:hAnsiTheme="minorEastAsia"/>
          <w:sz w:val="28"/>
          <w:szCs w:val="28"/>
        </w:rPr>
        <w:t>2.专业（技能）课</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（1）专业基础模块（见表2）</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专业基础课程是专业技能课程的基础部分，为学生之后的专业方向课程学习以及职业技能的培养打下良好的基础，为学生今后的专业学习与提升以及毕业后适应社会发展形势与旅游行业发展趋势做准备。</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表2 专业基础课程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03"/>
        <w:gridCol w:w="1326"/>
        <w:gridCol w:w="547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序号</w:t>
            </w:r>
          </w:p>
        </w:tc>
        <w:tc>
          <w:tcPr>
            <w:tcW w:w="132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课程名称</w:t>
            </w:r>
          </w:p>
        </w:tc>
        <w:tc>
          <w:tcPr>
            <w:tcW w:w="5478"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主要教学内容与教学目标</w:t>
            </w:r>
          </w:p>
        </w:tc>
        <w:tc>
          <w:tcPr>
            <w:tcW w:w="1849" w:type="dxa"/>
            <w:tcBorders>
              <w:top w:val="single" w:color="auto" w:sz="4" w:space="0"/>
              <w:left w:val="single" w:color="auto" w:sz="4" w:space="0"/>
              <w:bottom w:val="single" w:color="auto" w:sz="4" w:space="0"/>
              <w:right w:val="single" w:color="auto" w:sz="4" w:space="0"/>
            </w:tcBorders>
            <w:vAlign w:val="center"/>
          </w:tcPr>
          <w:p>
            <w:pPr>
              <w:spacing w:after="100" w:afterAutospacing="1"/>
              <w:jc w:val="left"/>
              <w:rPr>
                <w:rFonts w:cs="宋体" w:asciiTheme="minorEastAsia" w:hAnsiTheme="minorEastAsia"/>
                <w:b/>
                <w:szCs w:val="21"/>
              </w:rPr>
            </w:pPr>
            <w:r>
              <w:rPr>
                <w:rFonts w:hint="eastAsia" w:cs="宋体" w:asciiTheme="minorEastAsia" w:hAnsiTheme="minorEastAsia"/>
                <w:b/>
                <w:szCs w:val="21"/>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1</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旅游概论</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旅游学、旅游活动、旅游者、旅游目的地等相关基本概念和特征，旅游资源、旅游市场、旅游业、旅游组织、旅游影响等旅游学领域相关基本理论和基础知识。</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通过学习，使学生了解旅游学的基本理论、基本知识以及旅游行业发展的状况和趋势。</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2.作业、活动：30%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2</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中国旅游</w:t>
            </w:r>
          </w:p>
          <w:p>
            <w:pPr>
              <w:adjustRightInd w:val="0"/>
              <w:snapToGrid w:val="0"/>
              <w:jc w:val="center"/>
              <w:rPr>
                <w:rFonts w:ascii="仿宋" w:hAnsi="仿宋" w:eastAsia="仿宋" w:cs="宋体"/>
                <w:szCs w:val="21"/>
              </w:rPr>
            </w:pPr>
            <w:r>
              <w:rPr>
                <w:rFonts w:hint="eastAsia" w:ascii="仿宋" w:hAnsi="仿宋" w:eastAsia="仿宋" w:cs="宋体"/>
                <w:szCs w:val="21"/>
              </w:rPr>
              <w:t>地理</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旅游地理的基本概念，旅游资源分类、特征、成因，中国不同地域的景观特色，区域旅游资源，旅游开发与保护的基础知识，旅游可持续发展理论等。</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了解中国旅游资源类型、分布、成因和价值，区域旅游资源概况，掌握自然资源的开发利用和保护的基本知识。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2.作业、实训：30%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3</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旅游心理学</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 xml:space="preserve">主要内容有心理学与如何对旅游者鉴貌辨色、良好旅 游服务心理素质的培养、操作技能训练、旅游者的需要、兴趣及旅游动机、旅游者的个性、旅游 业员工的心理保健、旅游服务心理、旅游者的投诉心理、旅游者心理与旅游设施、旅游管理心理 等。 </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使学生在学习心理学基本理论的基础上，比较系统地学习和掌握旅游心理 学的基本理论知识和基本技能，形成辩证唯物主义心理观，为学好专业和以后工作打好基础。增强学生对旅游工作的认识，培养他们热爱旅游事业的专业思想以及从事旅游服务工作的兴趣 和能力。</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2.作业、小组活动：30%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4</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旅游岗位</w:t>
            </w:r>
          </w:p>
          <w:p>
            <w:pPr>
              <w:adjustRightInd w:val="0"/>
              <w:snapToGrid w:val="0"/>
              <w:jc w:val="center"/>
              <w:rPr>
                <w:rFonts w:ascii="仿宋" w:hAnsi="仿宋" w:eastAsia="仿宋" w:cs="宋体"/>
                <w:szCs w:val="21"/>
              </w:rPr>
            </w:pPr>
            <w:r>
              <w:rPr>
                <w:rFonts w:hint="eastAsia" w:ascii="仿宋" w:hAnsi="仿宋" w:eastAsia="仿宋" w:cs="宋体"/>
                <w:szCs w:val="21"/>
              </w:rPr>
              <w:t>英语</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在学习英语基础课程的基础之上，继续学习旅游岗位专业英语，主要涵盖导游带团英语、商场购物英语、酒店餐厅英语、英语介绍游览线路、服务英语。</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使学生能够熟练的用英语向游客介绍旅游景点；帮助游客较好地完成整个旅游过程；处理在整个旅游过程中遇到的各种问题和突发事件；顺利完成地接导游接待游客的吃、住、行、游、购、娱的工作全过程。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2.作业、小组活动与实训:40%</w:t>
            </w:r>
          </w:p>
          <w:p>
            <w:pPr>
              <w:adjustRightInd w:val="0"/>
              <w:snapToGrid w:val="0"/>
              <w:jc w:val="left"/>
              <w:rPr>
                <w:rFonts w:ascii="仿宋" w:hAnsi="仿宋" w:eastAsia="仿宋" w:cs="宋体"/>
                <w:szCs w:val="21"/>
              </w:rPr>
            </w:pPr>
            <w:r>
              <w:rPr>
                <w:rFonts w:hint="eastAsia" w:ascii="仿宋" w:hAnsi="仿宋" w:eastAsia="仿宋" w:cs="宋体"/>
                <w:szCs w:val="21"/>
              </w:rPr>
              <w:t>3.考查成绩：50%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5</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导游基础</w:t>
            </w:r>
          </w:p>
          <w:p>
            <w:pPr>
              <w:adjustRightInd w:val="0"/>
              <w:snapToGrid w:val="0"/>
              <w:jc w:val="center"/>
              <w:rPr>
                <w:rFonts w:ascii="仿宋" w:hAnsi="仿宋" w:eastAsia="仿宋" w:cs="宋体"/>
                <w:szCs w:val="21"/>
              </w:rPr>
            </w:pPr>
            <w:r>
              <w:rPr>
                <w:rFonts w:hint="eastAsia" w:ascii="仿宋" w:hAnsi="仿宋" w:eastAsia="仿宋" w:cs="宋体"/>
                <w:szCs w:val="21"/>
              </w:rPr>
              <w:t>知识</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中国历史常识、旅游地理、民族民俗、四大宗教、</w:t>
            </w:r>
            <w:r>
              <w:rPr>
                <w:rFonts w:ascii="仿宋" w:hAnsi="仿宋" w:eastAsia="仿宋" w:cs="宋体"/>
                <w:szCs w:val="21"/>
              </w:rPr>
              <w:t xml:space="preserve"> </w:t>
            </w:r>
            <w:r>
              <w:rPr>
                <w:rFonts w:hint="eastAsia" w:ascii="仿宋" w:hAnsi="仿宋" w:eastAsia="仿宋" w:cs="宋体"/>
                <w:szCs w:val="21"/>
              </w:rPr>
              <w:t>古代建筑、古代园林、菜系、风物特产等。</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通过本课程的学习，使学生能够较全面地了解导游工作必备的各方面基础知识，理解其中的文化现象和景观特点，掌握民俗风、风物特产，提升学生的业务素质。</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2.作业与小组活动：30%</w:t>
            </w:r>
          </w:p>
          <w:p>
            <w:pPr>
              <w:adjustRightInd w:val="0"/>
              <w:snapToGrid w:val="0"/>
              <w:jc w:val="left"/>
              <w:rPr>
                <w:rFonts w:ascii="仿宋" w:hAnsi="仿宋" w:eastAsia="仿宋" w:cs="宋体"/>
                <w:szCs w:val="21"/>
              </w:rPr>
            </w:pPr>
            <w:r>
              <w:rPr>
                <w:rFonts w:hint="eastAsia" w:ascii="仿宋" w:hAnsi="仿宋" w:eastAsia="仿宋" w:cs="宋体"/>
                <w:szCs w:val="21"/>
              </w:rPr>
              <w:t>3.考试成绩：60%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6</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旅游政策与法规</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法的基础知识</w:t>
            </w:r>
            <w:r>
              <w:rPr>
                <w:rFonts w:ascii="仿宋" w:hAnsi="仿宋" w:eastAsia="仿宋" w:cs="宋体"/>
                <w:szCs w:val="21"/>
              </w:rPr>
              <w:t> </w:t>
            </w:r>
            <w:r>
              <w:rPr>
                <w:rFonts w:hint="eastAsia" w:ascii="仿宋" w:hAnsi="仿宋" w:eastAsia="仿宋" w:cs="宋体"/>
                <w:szCs w:val="21"/>
              </w:rPr>
              <w:t>、宪法法律制度</w:t>
            </w:r>
            <w:r>
              <w:rPr>
                <w:rFonts w:ascii="仿宋" w:hAnsi="仿宋" w:eastAsia="仿宋" w:cs="宋体"/>
                <w:szCs w:val="21"/>
              </w:rPr>
              <w:t> </w:t>
            </w:r>
            <w:r>
              <w:rPr>
                <w:rFonts w:hint="eastAsia" w:ascii="仿宋" w:hAnsi="仿宋" w:eastAsia="仿宋" w:cs="宋体"/>
                <w:szCs w:val="21"/>
              </w:rPr>
              <w:t>、合同法律制度、消费者权益保护法律制度</w:t>
            </w:r>
            <w:r>
              <w:rPr>
                <w:rFonts w:ascii="仿宋" w:hAnsi="仿宋" w:eastAsia="仿宋" w:cs="宋体"/>
                <w:szCs w:val="21"/>
              </w:rPr>
              <w:t> </w:t>
            </w:r>
            <w:r>
              <w:rPr>
                <w:rFonts w:hint="eastAsia" w:ascii="仿宋" w:hAnsi="仿宋" w:eastAsia="仿宋" w:cs="宋体"/>
                <w:szCs w:val="21"/>
              </w:rPr>
              <w:t>、旅行社管理法规制度</w:t>
            </w:r>
            <w:r>
              <w:rPr>
                <w:rFonts w:ascii="仿宋" w:hAnsi="仿宋" w:eastAsia="仿宋" w:cs="宋体"/>
                <w:szCs w:val="21"/>
              </w:rPr>
              <w:t> </w:t>
            </w:r>
            <w:r>
              <w:rPr>
                <w:rFonts w:hint="eastAsia" w:ascii="仿宋" w:hAnsi="仿宋" w:eastAsia="仿宋" w:cs="宋体"/>
                <w:szCs w:val="21"/>
              </w:rPr>
              <w:t>、导游人员管理法规制度、旅游饭店管理法规制度</w:t>
            </w:r>
            <w:r>
              <w:rPr>
                <w:rFonts w:ascii="仿宋" w:hAnsi="仿宋" w:eastAsia="仿宋" w:cs="宋体"/>
                <w:szCs w:val="21"/>
              </w:rPr>
              <w:t> </w:t>
            </w:r>
            <w:r>
              <w:rPr>
                <w:rFonts w:hint="eastAsia" w:ascii="仿宋" w:hAnsi="仿宋" w:eastAsia="仿宋" w:cs="宋体"/>
                <w:szCs w:val="21"/>
              </w:rPr>
              <w:t>、旅游安全管理法规制度、旅游投诉法规制度</w:t>
            </w:r>
            <w:r>
              <w:rPr>
                <w:rFonts w:ascii="仿宋" w:hAnsi="仿宋" w:eastAsia="仿宋" w:cs="宋体"/>
                <w:szCs w:val="21"/>
              </w:rPr>
              <w:t> </w:t>
            </w:r>
            <w:r>
              <w:rPr>
                <w:rFonts w:hint="eastAsia" w:ascii="仿宋" w:hAnsi="仿宋" w:eastAsia="仿宋" w:cs="宋体"/>
                <w:szCs w:val="21"/>
              </w:rPr>
              <w:t>、旅游出入境管理法律法规制度。</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让学生了解法的产生、历史及其基本原理；理解社会主义法治国家的基本特征；掌握法的概念本质及基本特征。理解基本法律知识。掌握旅游法规知识。提高学生的法律意识，适应旅游业发展的需要。</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2.作业、活动：30%</w:t>
            </w:r>
          </w:p>
          <w:p>
            <w:pPr>
              <w:adjustRightInd w:val="0"/>
              <w:snapToGrid w:val="0"/>
              <w:jc w:val="left"/>
              <w:rPr>
                <w:rFonts w:ascii="仿宋" w:hAnsi="仿宋" w:eastAsia="仿宋" w:cs="宋体"/>
                <w:szCs w:val="21"/>
              </w:rPr>
            </w:pPr>
            <w:r>
              <w:rPr>
                <w:rFonts w:hint="eastAsia" w:ascii="仿宋" w:hAnsi="仿宋" w:eastAsia="仿宋" w:cs="宋体"/>
                <w:szCs w:val="21"/>
              </w:rPr>
              <w:t>3.考查成绩：60%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7</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中国旅游</w:t>
            </w:r>
          </w:p>
          <w:p>
            <w:pPr>
              <w:adjustRightInd w:val="0"/>
              <w:snapToGrid w:val="0"/>
              <w:jc w:val="center"/>
              <w:rPr>
                <w:rFonts w:ascii="仿宋" w:hAnsi="仿宋" w:eastAsia="仿宋" w:cs="宋体"/>
                <w:szCs w:val="21"/>
              </w:rPr>
            </w:pPr>
            <w:r>
              <w:rPr>
                <w:rFonts w:hint="eastAsia" w:ascii="仿宋" w:hAnsi="仿宋" w:eastAsia="仿宋" w:cs="宋体"/>
                <w:szCs w:val="21"/>
              </w:rPr>
              <w:t>客源地概况</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世界旅游综述、东亚及太平洋地区、 欧洲地区、美洲地区、南亚及中东地区、非洲地区、港澳台地区等。</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了解世界旅游的历史、现状及其发展趋势以及相关知识，重点掌握中国主要客源地概况，</w:t>
            </w:r>
            <w:r>
              <w:rPr>
                <w:rFonts w:ascii="仿宋" w:hAnsi="仿宋" w:eastAsia="仿宋" w:cs="宋体"/>
                <w:szCs w:val="21"/>
              </w:rPr>
              <w:t>做好旅游服务工作。</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2.作业、实训：30%</w:t>
            </w:r>
          </w:p>
          <w:p>
            <w:pPr>
              <w:adjustRightInd w:val="0"/>
              <w:snapToGrid w:val="0"/>
              <w:jc w:val="left"/>
              <w:rPr>
                <w:rFonts w:ascii="仿宋" w:hAnsi="仿宋" w:eastAsia="仿宋" w:cs="宋体"/>
                <w:szCs w:val="21"/>
              </w:rPr>
            </w:pPr>
            <w:r>
              <w:rPr>
                <w:rFonts w:hint="eastAsia" w:ascii="仿宋" w:hAnsi="仿宋" w:eastAsia="仿宋" w:cs="宋体"/>
                <w:szCs w:val="21"/>
              </w:rPr>
              <w:t>3.期末考试：60%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8</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旅游接待</w:t>
            </w:r>
          </w:p>
          <w:p>
            <w:pPr>
              <w:adjustRightInd w:val="0"/>
              <w:snapToGrid w:val="0"/>
              <w:jc w:val="center"/>
              <w:rPr>
                <w:rFonts w:ascii="仿宋" w:hAnsi="仿宋" w:eastAsia="仿宋" w:cs="宋体"/>
                <w:szCs w:val="21"/>
              </w:rPr>
            </w:pPr>
            <w:r>
              <w:rPr>
                <w:rFonts w:hint="eastAsia" w:ascii="仿宋" w:hAnsi="仿宋" w:eastAsia="仿宋" w:cs="宋体"/>
                <w:szCs w:val="21"/>
              </w:rPr>
              <w:t>人员规范</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主要学习仪容仪表仪态礼仪、礼貌语言的运用、日常交际礼仪及旅游行业主要接待服务礼仪的基本知识及技能；课程针对中职学生的生理发育特点，结合本专业素质要求，讲授形体训练的基本知识和方法。</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让学生掌握人际交往的基本礼仪规范，懂得形体训练的基本方法；熟悉旅游接待的具体流程以及接待过程中的注意事项，针对不同人群的具体接待要求，能够灵活应变。通过训练塑造学生优美的姿态和高雅的气质，掌握旅游从业人员所应具备的礼仪规范，为从事旅游服务工作打下扎实的基础。</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utoSpaceDE w:val="0"/>
              <w:autoSpaceDN w:val="0"/>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1.考勤及课堂表现：10%</w:t>
            </w:r>
          </w:p>
          <w:p>
            <w:pPr>
              <w:autoSpaceDE w:val="0"/>
              <w:autoSpaceDN w:val="0"/>
              <w:adjustRightInd w:val="0"/>
              <w:snapToGrid w:val="0"/>
              <w:spacing w:line="360" w:lineRule="exact"/>
              <w:jc w:val="left"/>
              <w:rPr>
                <w:rFonts w:ascii="仿宋" w:hAnsi="仿宋" w:eastAsia="仿宋" w:cs="宋体"/>
                <w:szCs w:val="21"/>
              </w:rPr>
            </w:pPr>
            <w:r>
              <w:rPr>
                <w:rFonts w:hint="eastAsia" w:ascii="仿宋" w:hAnsi="仿宋" w:eastAsia="仿宋" w:cs="宋体"/>
                <w:szCs w:val="21"/>
              </w:rPr>
              <w:t>2.作业、小组活动与实训:40%</w:t>
            </w:r>
          </w:p>
          <w:p>
            <w:pPr>
              <w:autoSpaceDE w:val="0"/>
              <w:autoSpaceDN w:val="0"/>
              <w:adjustRightInd w:val="0"/>
              <w:snapToGrid w:val="0"/>
              <w:spacing w:line="360" w:lineRule="exact"/>
              <w:jc w:val="left"/>
              <w:rPr>
                <w:rFonts w:ascii="仿宋" w:hAnsi="仿宋" w:eastAsia="仿宋" w:cs="宋体"/>
                <w:szCs w:val="21"/>
              </w:rPr>
            </w:pPr>
            <w:r>
              <w:rPr>
                <w:rFonts w:hint="eastAsia" w:ascii="仿宋" w:hAnsi="仿宋" w:eastAsia="仿宋" w:cs="宋体"/>
                <w:szCs w:val="21"/>
              </w:rPr>
              <w:t>3.考查成绩：50%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9</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普通话</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普通话的正确发音，使学生通过学习养成说普通话的习惯，提高普通话口语表达能力。</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培养学生良好的口语表达能力，形成规范的对客服务的能力。</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2.平时训练、考核：30%</w:t>
            </w:r>
          </w:p>
          <w:p>
            <w:pPr>
              <w:adjustRightInd w:val="0"/>
              <w:snapToGrid w:val="0"/>
              <w:jc w:val="left"/>
              <w:rPr>
                <w:rFonts w:ascii="仿宋" w:hAnsi="仿宋" w:eastAsia="仿宋" w:cs="宋体"/>
                <w:szCs w:val="21"/>
              </w:rPr>
            </w:pPr>
            <w:r>
              <w:rPr>
                <w:rFonts w:hint="eastAsia" w:ascii="仿宋" w:hAnsi="仿宋" w:eastAsia="仿宋" w:cs="宋体"/>
                <w:szCs w:val="21"/>
              </w:rPr>
              <w:t>3.考查成绩：60%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10</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艺术欣赏</w:t>
            </w:r>
          </w:p>
        </w:tc>
        <w:tc>
          <w:tcPr>
            <w:tcW w:w="54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ascii="仿宋" w:hAnsi="仿宋" w:eastAsia="仿宋" w:cs="宋体"/>
                <w:szCs w:val="21"/>
              </w:rPr>
              <w:t>绘画欣赏</w:t>
            </w:r>
            <w:r>
              <w:rPr>
                <w:rFonts w:hint="eastAsia" w:ascii="仿宋" w:hAnsi="仿宋" w:eastAsia="仿宋" w:cs="宋体"/>
                <w:szCs w:val="21"/>
              </w:rPr>
              <w:t>、</w:t>
            </w:r>
            <w:r>
              <w:rPr>
                <w:rFonts w:ascii="仿宋" w:hAnsi="仿宋" w:eastAsia="仿宋" w:cs="宋体"/>
                <w:szCs w:val="21"/>
              </w:rPr>
              <w:t xml:space="preserve"> 中国书法艺术欣赏</w:t>
            </w:r>
            <w:r>
              <w:rPr>
                <w:rFonts w:hint="eastAsia" w:ascii="仿宋" w:hAnsi="仿宋" w:eastAsia="仿宋" w:cs="宋体"/>
                <w:szCs w:val="21"/>
              </w:rPr>
              <w:t>、</w:t>
            </w:r>
            <w:r>
              <w:rPr>
                <w:rFonts w:ascii="仿宋" w:hAnsi="仿宋" w:eastAsia="仿宋" w:cs="宋体"/>
                <w:szCs w:val="21"/>
              </w:rPr>
              <w:t xml:space="preserve"> 雕塑欣赏</w:t>
            </w:r>
            <w:r>
              <w:rPr>
                <w:rFonts w:hint="eastAsia" w:ascii="仿宋" w:hAnsi="仿宋" w:eastAsia="仿宋" w:cs="宋体"/>
                <w:szCs w:val="21"/>
              </w:rPr>
              <w:t>、</w:t>
            </w:r>
            <w:r>
              <w:rPr>
                <w:rFonts w:ascii="仿宋" w:hAnsi="仿宋" w:eastAsia="仿宋" w:cs="宋体"/>
                <w:szCs w:val="21"/>
              </w:rPr>
              <w:t>工艺美术欣赏</w:t>
            </w:r>
            <w:r>
              <w:rPr>
                <w:rFonts w:hint="eastAsia" w:ascii="仿宋" w:hAnsi="仿宋" w:eastAsia="仿宋" w:cs="宋体"/>
                <w:szCs w:val="21"/>
              </w:rPr>
              <w:t>、</w:t>
            </w:r>
            <w:r>
              <w:rPr>
                <w:rFonts w:ascii="仿宋" w:hAnsi="仿宋" w:eastAsia="仿宋" w:cs="宋体"/>
                <w:szCs w:val="21"/>
              </w:rPr>
              <w:t>音乐欣赏</w:t>
            </w:r>
            <w:r>
              <w:rPr>
                <w:rFonts w:hint="eastAsia" w:ascii="仿宋" w:hAnsi="仿宋" w:eastAsia="仿宋" w:cs="宋体"/>
                <w:szCs w:val="21"/>
              </w:rPr>
              <w:t>、</w:t>
            </w:r>
            <w:r>
              <w:rPr>
                <w:rFonts w:ascii="仿宋" w:hAnsi="仿宋" w:eastAsia="仿宋" w:cs="宋体"/>
                <w:szCs w:val="21"/>
              </w:rPr>
              <w:t>建筑艺术欣赏</w:t>
            </w:r>
            <w:r>
              <w:rPr>
                <w:rFonts w:hint="eastAsia" w:ascii="仿宋" w:hAnsi="仿宋" w:eastAsia="仿宋" w:cs="宋体"/>
                <w:szCs w:val="21"/>
              </w:rPr>
              <w:t>。</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ascii="仿宋" w:hAnsi="仿宋" w:eastAsia="仿宋" w:cs="宋体"/>
                <w:szCs w:val="21"/>
              </w:rPr>
              <w:t>了解中西方艺术史的基本概貌，提高</w:t>
            </w:r>
            <w:r>
              <w:rPr>
                <w:rFonts w:hint="eastAsia" w:ascii="仿宋" w:hAnsi="仿宋" w:eastAsia="仿宋" w:cs="宋体"/>
                <w:szCs w:val="21"/>
              </w:rPr>
              <w:t>学生</w:t>
            </w:r>
            <w:r>
              <w:rPr>
                <w:rFonts w:ascii="仿宋" w:hAnsi="仿宋" w:eastAsia="仿宋" w:cs="宋体"/>
                <w:szCs w:val="21"/>
              </w:rPr>
              <w:t>对绘画、中国书法、雕塑、工艺美术、音乐等艺术的欣赏水平，做好旅游服务工作。</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2.平时训练、考核：30%</w:t>
            </w:r>
          </w:p>
          <w:p>
            <w:pPr>
              <w:adjustRightInd w:val="0"/>
              <w:snapToGrid w:val="0"/>
              <w:jc w:val="left"/>
              <w:rPr>
                <w:rFonts w:ascii="仿宋" w:hAnsi="仿宋" w:eastAsia="仿宋" w:cs="宋体"/>
                <w:szCs w:val="21"/>
              </w:rPr>
            </w:pPr>
            <w:r>
              <w:rPr>
                <w:rFonts w:hint="eastAsia" w:ascii="仿宋" w:hAnsi="仿宋" w:eastAsia="仿宋" w:cs="宋体"/>
                <w:szCs w:val="21"/>
              </w:rPr>
              <w:t>3.考查成绩：60%</w:t>
            </w:r>
          </w:p>
        </w:tc>
      </w:tr>
    </w:tbl>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（2）专业方向模块（见表 3、4）</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专业方向课程是学生掌握相关专业方向技能，提升职业综合能力，促进职业发展的核心专门化方向课程，主要培养学生在旅游企业一线部门从事基层服务与管理工作的核心职业技能。具体内容见表3、4。</w:t>
      </w:r>
    </w:p>
    <w:p>
      <w:pPr>
        <w:autoSpaceDE w:val="0"/>
        <w:autoSpaceDN w:val="0"/>
        <w:adjustRightInd w:val="0"/>
        <w:spacing w:line="36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1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①</w:t>
      </w:r>
      <w:r>
        <w:rPr>
          <w:rFonts w:asciiTheme="minorEastAsia" w:hAnsiTheme="minorEastAsia"/>
          <w:sz w:val="28"/>
          <w:szCs w:val="28"/>
        </w:rPr>
        <w:fldChar w:fldCharType="end"/>
      </w:r>
      <w:r>
        <w:rPr>
          <w:rFonts w:hint="eastAsia" w:asciiTheme="minorEastAsia" w:hAnsiTheme="minorEastAsia"/>
          <w:sz w:val="28"/>
          <w:szCs w:val="28"/>
        </w:rPr>
        <w:t>旅游服务方向课程（表3）</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表3 旅游服务方向课程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03"/>
        <w:gridCol w:w="1276"/>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旅行社运营</w:t>
            </w:r>
          </w:p>
          <w:p>
            <w:pPr>
              <w:adjustRightInd w:val="0"/>
              <w:snapToGrid w:val="0"/>
              <w:ind w:firstLine="420" w:firstLineChars="200"/>
              <w:jc w:val="center"/>
              <w:rPr>
                <w:rFonts w:ascii="仿宋" w:hAnsi="仿宋" w:eastAsia="仿宋" w:cs="宋体"/>
                <w:szCs w:val="21"/>
              </w:rPr>
            </w:pPr>
            <w:r>
              <w:rPr>
                <w:rFonts w:hint="eastAsia" w:ascii="仿宋" w:hAnsi="仿宋" w:eastAsia="仿宋" w:cs="宋体"/>
                <w:szCs w:val="21"/>
              </w:rPr>
              <w:t>实务</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本课程内容为旅行社的性质与业务、旅行社的分类及设立、旅行社的产品开发、旅行社的销售、旅行社的促销、旅行社的采购、旅行社的接待、旅行社的财务管理、发展中的中国旅行社。</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于通过教与学，使学生正确理解现代旅行社经营与管理的基本原理、方法，并能综合运用所学理论解决旅行社管理中存在的实际问题，培养学生管理旅行社的素质与能力。</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2.作业与小组活动：30%</w:t>
            </w:r>
          </w:p>
          <w:p>
            <w:pPr>
              <w:adjustRightInd w:val="0"/>
              <w:snapToGrid w:val="0"/>
              <w:jc w:val="left"/>
              <w:rPr>
                <w:rFonts w:ascii="仿宋" w:hAnsi="仿宋" w:eastAsia="仿宋" w:cs="宋体"/>
                <w:szCs w:val="21"/>
              </w:rPr>
            </w:pPr>
            <w:r>
              <w:rPr>
                <w:rFonts w:hint="eastAsia" w:ascii="仿宋" w:hAnsi="仿宋" w:eastAsia="仿宋" w:cs="宋体"/>
                <w:szCs w:val="21"/>
              </w:rPr>
              <w:t>3.考试成绩：60%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旅行社</w:t>
            </w:r>
          </w:p>
          <w:p>
            <w:pPr>
              <w:adjustRightInd w:val="0"/>
              <w:snapToGrid w:val="0"/>
              <w:jc w:val="center"/>
              <w:rPr>
                <w:rFonts w:ascii="仿宋" w:hAnsi="仿宋" w:eastAsia="仿宋" w:cs="宋体"/>
                <w:szCs w:val="21"/>
              </w:rPr>
            </w:pPr>
            <w:r>
              <w:rPr>
                <w:rFonts w:hint="eastAsia" w:ascii="仿宋" w:hAnsi="仿宋" w:eastAsia="仿宋" w:cs="宋体"/>
                <w:szCs w:val="21"/>
              </w:rPr>
              <w:t>计调与外联</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计调、外联工作认知，国内接待计调操作流程，出入境计调操作流程，计调采购工作流程，计调部门的管理。</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使学生熟悉计调、外联工作相关的知识，掌握计调、外联岗位工作程序与技能，通过反复实践，使学生能够操作计调、外联业务。并且能使学生树立良好的工作态度，具备从事计调、外联工作的职业素养，在此基础上形成职业能力。</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2.作业、活动：30%</w:t>
            </w:r>
          </w:p>
          <w:p>
            <w:pPr>
              <w:adjustRightInd w:val="0"/>
              <w:snapToGrid w:val="0"/>
              <w:jc w:val="left"/>
              <w:rPr>
                <w:rFonts w:ascii="仿宋" w:hAnsi="仿宋" w:eastAsia="仿宋" w:cs="宋体"/>
                <w:szCs w:val="21"/>
              </w:rPr>
            </w:pPr>
            <w:r>
              <w:rPr>
                <w:rFonts w:hint="eastAsia" w:ascii="仿宋" w:hAnsi="仿宋" w:eastAsia="仿宋" w:cs="宋体"/>
                <w:szCs w:val="21"/>
              </w:rPr>
              <w:t>3.考查成绩：60%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 xml:space="preserve">  3</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旅行社门市</w:t>
            </w:r>
          </w:p>
          <w:p>
            <w:pPr>
              <w:adjustRightInd w:val="0"/>
              <w:snapToGrid w:val="0"/>
              <w:jc w:val="center"/>
              <w:rPr>
                <w:rFonts w:ascii="仿宋" w:hAnsi="仿宋" w:eastAsia="仿宋" w:cs="宋体"/>
                <w:szCs w:val="21"/>
              </w:rPr>
            </w:pPr>
            <w:r>
              <w:rPr>
                <w:rFonts w:hint="eastAsia" w:ascii="仿宋" w:hAnsi="仿宋" w:eastAsia="仿宋" w:cs="宋体"/>
                <w:szCs w:val="21"/>
              </w:rPr>
              <w:t>接待</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门市服务人员的素质养成，门市环境布置，门市对客服务，门市销售促成技巧，门市顾客心理分析。</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 xml:space="preserve"> 通过对门市接待的学习，使学生熟悉门市接待的工作内容及工作流程，能对不同顾客进行旅游需求及动机分析并回答问题；根据实际情况进行旅游线路的门市销售；能进行门市客户关系管理。</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2. 作业、实训活动：</w:t>
            </w:r>
            <w:r>
              <w:rPr>
                <w:rFonts w:ascii="仿宋" w:hAnsi="仿宋" w:eastAsia="仿宋" w:cs="宋体"/>
                <w:szCs w:val="21"/>
              </w:rPr>
              <w:t xml:space="preserve"> </w:t>
            </w:r>
          </w:p>
          <w:p>
            <w:pPr>
              <w:adjustRightInd w:val="0"/>
              <w:snapToGrid w:val="0"/>
              <w:spacing w:before="163"/>
              <w:ind w:firstLine="420" w:firstLineChars="200"/>
              <w:jc w:val="left"/>
              <w:rPr>
                <w:rFonts w:ascii="仿宋" w:hAnsi="仿宋" w:eastAsia="仿宋" w:cs="宋体"/>
                <w:szCs w:val="21"/>
              </w:rPr>
            </w:pPr>
            <w:r>
              <w:rPr>
                <w:rFonts w:hint="eastAsia" w:ascii="仿宋" w:hAnsi="仿宋" w:eastAsia="仿宋" w:cs="宋体"/>
                <w:szCs w:val="21"/>
              </w:rPr>
              <w:t>30%</w:t>
            </w:r>
          </w:p>
          <w:p>
            <w:pPr>
              <w:adjustRightInd w:val="0"/>
              <w:snapToGrid w:val="0"/>
              <w:jc w:val="left"/>
              <w:rPr>
                <w:rFonts w:ascii="仿宋" w:hAnsi="仿宋" w:eastAsia="仿宋" w:cs="宋体"/>
                <w:szCs w:val="21"/>
              </w:rPr>
            </w:pPr>
            <w:r>
              <w:rPr>
                <w:rFonts w:hint="eastAsia" w:ascii="仿宋" w:hAnsi="仿宋" w:eastAsia="仿宋" w:cs="宋体"/>
                <w:szCs w:val="21"/>
              </w:rPr>
              <w:t>3.期末考试（理论、实训）成绩：60%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 xml:space="preserve">  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left"/>
              <w:rPr>
                <w:rFonts w:ascii="仿宋" w:hAnsi="仿宋" w:eastAsia="仿宋" w:cs="宋体"/>
                <w:szCs w:val="21"/>
              </w:rPr>
            </w:pPr>
            <w:r>
              <w:rPr>
                <w:rFonts w:hint="eastAsia" w:ascii="仿宋" w:hAnsi="仿宋" w:eastAsia="仿宋" w:cs="宋体"/>
                <w:szCs w:val="21"/>
              </w:rPr>
              <w:t>导游实务</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63"/>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导游业务知识，导游服务规程，导游人员的带团技能、语言技能和讲解技能，导游服务过程中事故的预防及处理等方面的基本理论和基本知识。</w:t>
            </w:r>
          </w:p>
          <w:p>
            <w:pPr>
              <w:adjustRightInd w:val="0"/>
              <w:snapToGrid w:val="0"/>
              <w:spacing w:before="163"/>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了解合格导游员应具备的条件和素质，树立良好的职业道德风尚；掌握导游员的服务规范和服务质量标准；熟知旅游常识；能独立开展导游服务，具备独立处理问题的能力，能独立应对旅游中的突发事件和游客的特殊需求，为将来从事导游工作打下良好的基础。</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before="163"/>
              <w:jc w:val="left"/>
              <w:rPr>
                <w:rFonts w:ascii="仿宋" w:hAnsi="仿宋" w:eastAsia="仿宋" w:cs="宋体"/>
                <w:szCs w:val="21"/>
              </w:rPr>
            </w:pPr>
            <w:r>
              <w:rPr>
                <w:rFonts w:hint="eastAsia" w:ascii="仿宋" w:hAnsi="仿宋" w:eastAsia="仿宋" w:cs="宋体"/>
                <w:szCs w:val="21"/>
              </w:rPr>
              <w:t>2.作业与小组活动、实训：30%</w:t>
            </w:r>
          </w:p>
          <w:p>
            <w:pPr>
              <w:adjustRightInd w:val="0"/>
              <w:snapToGrid w:val="0"/>
              <w:jc w:val="left"/>
              <w:rPr>
                <w:rFonts w:ascii="仿宋" w:hAnsi="仿宋" w:eastAsia="仿宋" w:cs="宋体"/>
                <w:szCs w:val="21"/>
              </w:rPr>
            </w:pPr>
            <w:r>
              <w:rPr>
                <w:rFonts w:hint="eastAsia" w:ascii="仿宋" w:hAnsi="仿宋" w:eastAsia="仿宋" w:cs="宋体"/>
                <w:szCs w:val="21"/>
              </w:rPr>
              <w:t>3.考试成绩（理论、实训）：60%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 xml:space="preserve">  5</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left"/>
              <w:rPr>
                <w:rFonts w:ascii="仿宋" w:hAnsi="仿宋" w:eastAsia="仿宋" w:cs="宋体"/>
                <w:szCs w:val="21"/>
              </w:rPr>
            </w:pPr>
            <w:r>
              <w:rPr>
                <w:rFonts w:hint="eastAsia" w:ascii="仿宋" w:hAnsi="仿宋" w:eastAsia="仿宋" w:cs="宋体"/>
                <w:szCs w:val="21"/>
              </w:rPr>
              <w:t>模拟导游</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导游服务和景区讲解与服务的基本知识；导游带团的程序、方法、技巧及问题事故的处理；导游服务中必须涉及的相关专业知识；导游人员的礼貌礼节知识。</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通过模拟场景培养学生具有较强的表达能力、组织能力、协调能力、应变能力和人际沟通能力；使学生具有良好的导游实践能力；较强的导游服务规范操作能力和个性化服务的能力。</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jc w:val="left"/>
              <w:rPr>
                <w:rFonts w:ascii="仿宋" w:hAnsi="仿宋" w:eastAsia="仿宋" w:cs="宋体"/>
                <w:szCs w:val="21"/>
              </w:rPr>
            </w:pPr>
            <w:r>
              <w:rPr>
                <w:rFonts w:hint="eastAsia" w:ascii="仿宋" w:hAnsi="仿宋" w:eastAsia="仿宋" w:cs="宋体"/>
                <w:szCs w:val="21"/>
              </w:rPr>
              <w:t>2.作业与小组活动、实训：30%</w:t>
            </w:r>
          </w:p>
          <w:p>
            <w:pPr>
              <w:adjustRightInd w:val="0"/>
              <w:snapToGrid w:val="0"/>
              <w:jc w:val="left"/>
              <w:rPr>
                <w:rFonts w:ascii="仿宋" w:hAnsi="仿宋" w:eastAsia="仿宋" w:cs="宋体"/>
                <w:szCs w:val="21"/>
              </w:rPr>
            </w:pPr>
            <w:r>
              <w:rPr>
                <w:rFonts w:hint="eastAsia" w:ascii="仿宋" w:hAnsi="仿宋" w:eastAsia="仿宋" w:cs="宋体"/>
                <w:szCs w:val="21"/>
              </w:rPr>
              <w:t>3.考试成绩：60%</w:t>
            </w:r>
          </w:p>
        </w:tc>
      </w:tr>
    </w:tbl>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cs="宋体" w:asciiTheme="minorEastAsia" w:hAnsiTheme="minorEastAsia"/>
          <w:b/>
          <w:szCs w:val="21"/>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2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②</w:t>
      </w:r>
      <w:r>
        <w:rPr>
          <w:rFonts w:asciiTheme="minorEastAsia" w:hAnsiTheme="minorEastAsia"/>
          <w:sz w:val="28"/>
          <w:szCs w:val="28"/>
        </w:rPr>
        <w:fldChar w:fldCharType="end"/>
      </w:r>
      <w:r>
        <w:rPr>
          <w:rFonts w:hint="eastAsia" w:asciiTheme="minorEastAsia" w:hAnsiTheme="minorEastAsia"/>
          <w:sz w:val="28"/>
          <w:szCs w:val="28"/>
        </w:rPr>
        <w:t>酒店拓展方向课程（表4）</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表4 酒店拓展方向课程</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6" w:type="dxa"/>
          <w:left w:w="36" w:type="dxa"/>
          <w:bottom w:w="36" w:type="dxa"/>
          <w:right w:w="36" w:type="dxa"/>
        </w:tblCellMar>
      </w:tblPr>
      <w:tblGrid>
        <w:gridCol w:w="603"/>
        <w:gridCol w:w="1276"/>
        <w:gridCol w:w="538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课程名称</w:t>
            </w:r>
          </w:p>
        </w:tc>
        <w:tc>
          <w:tcPr>
            <w:tcW w:w="538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主要教学内容与教学目标</w:t>
            </w:r>
          </w:p>
        </w:tc>
        <w:tc>
          <w:tcPr>
            <w:tcW w:w="1990"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考核方式与要求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szCs w:val="21"/>
              </w:rPr>
            </w:pPr>
            <w:r>
              <w:rPr>
                <w:rFonts w:hint="eastAsia" w:ascii="仿宋" w:hAnsi="仿宋" w:eastAsia="仿宋" w:cs="宋体"/>
                <w:szCs w:val="21"/>
              </w:rPr>
              <w:t>餐饮服务与管理</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餐饮部工作概述，中、西餐厅服务流程、零点摆台及服务、中西餐宴会摆台及服务、食品安全、宴会服务。</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培养学生中西餐厅经营全过程的服务、管理等方面知识。掌握餐饮服务工作中的礼仪标准与要求，了解客人的心理特征从而提高服务水平，达到餐饮部各岗位标准的职业综合素质与能力要求。</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仿宋" w:hAnsi="仿宋" w:eastAsia="仿宋" w:cs="宋体"/>
                <w:szCs w:val="21"/>
              </w:rPr>
            </w:pPr>
            <w:r>
              <w:rPr>
                <w:rFonts w:hint="eastAsia" w:ascii="仿宋" w:hAnsi="仿宋" w:eastAsia="仿宋" w:cs="宋体"/>
                <w:szCs w:val="21"/>
              </w:rPr>
              <w:t>考试</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1.考勤及课堂表现：10%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2.作业、实训：30%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3.期末理论考试、服务实操：60%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茶艺</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红茶、绿茶、花茶、普洱茶和乌龙茶的冲泡技艺，主要有冰红茶、泡沫红茶及红茶清饮的冲泡；绿茶的玻璃杯泡法、盖碗泡法、壶泡法及各种名茶茶艺；花茶茶艺；普洱茶茶艺；乌龙茶的潮汕工夫、武夷山工夫、台湾工夫等茶艺；蒙山派场子铜壶茶艺表演等技能。</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让学生学会茶的泡饮技巧，掌握长嘴铜壶表演技能。包括不同种类绿茶、红茶、花茶和乌龙茶的识别；不同茶类不同品种茶叶冲泡的茶具选配；泡茶用水及水温选择；茶艺礼仪、泡茶环境布置及音乐、服装等配置等内容。</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1.考勤及课堂表现：20%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2.四次阶段性考核：80%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咖啡技艺</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hint="eastAsia" w:ascii="仿宋" w:hAnsi="仿宋" w:eastAsia="仿宋" w:cs="宋体"/>
                <w:szCs w:val="21"/>
              </w:rPr>
              <w:t>咖啡制做原理、原料知识、加工流程、设备使用、品种演变及多种咖啡冰点咖啡果冻及多种咖啡饮料制作；果盘制作等。</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本课程的学习，学生能基本了解相应的咖啡原材料、生产过程和工艺、咖啡品种甄别知识。要求学生掌握咖啡调制或配置技能、咖啡创新设计；并熟练掌握普及性咖啡配置或调制技术；熟悉果盘制作等，以培养学生成为适合旅游业、餐饮服务业发展需要的应用型人才。</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1.考勤及课堂表现：20%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2.四次阶段性考核：80%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jc w:val="center"/>
        </w:trPr>
        <w:tc>
          <w:tcPr>
            <w:tcW w:w="60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cs="宋体"/>
                <w:szCs w:val="21"/>
              </w:rPr>
            </w:pPr>
            <w:r>
              <w:rPr>
                <w:rFonts w:hint="eastAsia" w:ascii="仿宋" w:hAnsi="仿宋" w:eastAsia="仿宋" w:cs="宋体"/>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szCs w:val="21"/>
              </w:rPr>
            </w:pPr>
            <w:r>
              <w:rPr>
                <w:rFonts w:hint="eastAsia" w:ascii="仿宋" w:hAnsi="仿宋" w:eastAsia="仿宋" w:cs="宋体"/>
                <w:szCs w:val="21"/>
              </w:rPr>
              <w:t>西点制作</w:t>
            </w:r>
          </w:p>
        </w:tc>
        <w:tc>
          <w:tcPr>
            <w:tcW w:w="538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教学内容：</w:t>
            </w:r>
            <w:r>
              <w:rPr>
                <w:rFonts w:ascii="仿宋" w:hAnsi="仿宋" w:eastAsia="仿宋" w:cs="宋体"/>
                <w:szCs w:val="21"/>
              </w:rPr>
              <w:t>制作沙司</w:t>
            </w:r>
            <w:r>
              <w:rPr>
                <w:rFonts w:hint="eastAsia" w:ascii="仿宋" w:hAnsi="仿宋" w:eastAsia="仿宋" w:cs="宋体"/>
                <w:szCs w:val="21"/>
              </w:rPr>
              <w:t>、</w:t>
            </w:r>
            <w:r>
              <w:rPr>
                <w:rFonts w:ascii="仿宋" w:hAnsi="仿宋" w:eastAsia="仿宋" w:cs="宋体"/>
                <w:szCs w:val="21"/>
              </w:rPr>
              <w:t>三明治的营养调配</w:t>
            </w:r>
            <w:r>
              <w:rPr>
                <w:rFonts w:hint="eastAsia" w:ascii="仿宋" w:hAnsi="仿宋" w:eastAsia="仿宋" w:cs="宋体"/>
                <w:szCs w:val="21"/>
              </w:rPr>
              <w:t>、</w:t>
            </w:r>
            <w:r>
              <w:rPr>
                <w:rFonts w:ascii="仿宋" w:hAnsi="仿宋" w:eastAsia="仿宋" w:cs="宋体"/>
                <w:szCs w:val="21"/>
              </w:rPr>
              <w:t>面包和基本和面法</w:t>
            </w:r>
            <w:r>
              <w:rPr>
                <w:rFonts w:hint="eastAsia" w:ascii="仿宋" w:hAnsi="仿宋" w:eastAsia="仿宋" w:cs="宋体"/>
                <w:szCs w:val="21"/>
              </w:rPr>
              <w:t>、</w:t>
            </w:r>
            <w:r>
              <w:rPr>
                <w:rFonts w:ascii="仿宋" w:hAnsi="仿宋" w:eastAsia="仿宋" w:cs="宋体"/>
                <w:szCs w:val="21"/>
              </w:rPr>
              <w:t>曲奇的基本和面法</w:t>
            </w:r>
            <w:r>
              <w:rPr>
                <w:rFonts w:hint="eastAsia" w:ascii="仿宋" w:hAnsi="仿宋" w:eastAsia="仿宋" w:cs="宋体"/>
                <w:szCs w:val="21"/>
              </w:rPr>
              <w:t>、</w:t>
            </w:r>
            <w:r>
              <w:rPr>
                <w:rFonts w:ascii="仿宋" w:hAnsi="仿宋" w:eastAsia="仿宋" w:cs="宋体"/>
                <w:szCs w:val="21"/>
              </w:rPr>
              <w:t>糕点的基本和面法</w:t>
            </w:r>
            <w:r>
              <w:rPr>
                <w:rFonts w:hint="eastAsia" w:ascii="仿宋" w:hAnsi="仿宋" w:eastAsia="仿宋" w:cs="宋体"/>
                <w:szCs w:val="21"/>
              </w:rPr>
              <w:t>、</w:t>
            </w:r>
            <w:r>
              <w:rPr>
                <w:rFonts w:ascii="仿宋" w:hAnsi="仿宋" w:eastAsia="仿宋" w:cs="宋体"/>
                <w:szCs w:val="21"/>
              </w:rPr>
              <w:t>披萨</w:t>
            </w:r>
            <w:r>
              <w:rPr>
                <w:rFonts w:hint="eastAsia" w:ascii="仿宋" w:hAnsi="仿宋" w:eastAsia="仿宋" w:cs="宋体"/>
                <w:szCs w:val="21"/>
              </w:rPr>
              <w:t>等。</w:t>
            </w:r>
          </w:p>
          <w:p>
            <w:pPr>
              <w:adjustRightInd w:val="0"/>
              <w:snapToGrid w:val="0"/>
              <w:ind w:firstLine="422" w:firstLineChars="200"/>
              <w:jc w:val="left"/>
              <w:rPr>
                <w:rFonts w:ascii="仿宋" w:hAnsi="仿宋" w:eastAsia="仿宋" w:cs="宋体"/>
                <w:szCs w:val="21"/>
              </w:rPr>
            </w:pPr>
            <w:r>
              <w:rPr>
                <w:rFonts w:hint="eastAsia" w:ascii="仿宋" w:hAnsi="仿宋" w:eastAsia="仿宋" w:cs="宋体"/>
                <w:b/>
                <w:szCs w:val="21"/>
              </w:rPr>
              <w:t>教学目标：</w:t>
            </w:r>
            <w:r>
              <w:rPr>
                <w:rFonts w:hint="eastAsia" w:ascii="仿宋" w:hAnsi="仿宋" w:eastAsia="仿宋" w:cs="宋体"/>
                <w:szCs w:val="21"/>
              </w:rPr>
              <w:t>通过本课程的学习，学生能基本了解常见</w:t>
            </w:r>
            <w:r>
              <w:rPr>
                <w:rFonts w:ascii="仿宋" w:hAnsi="仿宋" w:eastAsia="仿宋" w:cs="宋体"/>
                <w:szCs w:val="21"/>
              </w:rPr>
              <w:t>种类西点的制作原料以及制作方法</w:t>
            </w:r>
            <w:r>
              <w:rPr>
                <w:rFonts w:hint="eastAsia" w:ascii="仿宋" w:hAnsi="仿宋" w:eastAsia="仿宋" w:cs="宋体"/>
                <w:szCs w:val="21"/>
              </w:rPr>
              <w:t>，掌握常见西点制作的</w:t>
            </w:r>
            <w:r>
              <w:rPr>
                <w:rFonts w:ascii="仿宋" w:hAnsi="仿宋" w:eastAsia="仿宋" w:cs="宋体"/>
                <w:szCs w:val="21"/>
              </w:rPr>
              <w:t>选料、搭配、造型、烘烤蒸制的温度、时间等</w:t>
            </w:r>
            <w:r>
              <w:rPr>
                <w:rFonts w:hint="eastAsia" w:ascii="仿宋" w:hAnsi="仿宋" w:eastAsia="仿宋" w:cs="宋体"/>
                <w:szCs w:val="21"/>
              </w:rPr>
              <w:t>以及西点的创新设计，以培养学生成为适合旅游业、餐饮服务业发展需要的应用型人才。</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仿宋" w:hAnsi="仿宋" w:eastAsia="仿宋" w:cs="宋体"/>
                <w:szCs w:val="21"/>
              </w:rPr>
            </w:pPr>
            <w:r>
              <w:rPr>
                <w:rFonts w:hint="eastAsia" w:ascii="仿宋" w:hAnsi="仿宋" w:eastAsia="仿宋" w:cs="宋体"/>
                <w:szCs w:val="21"/>
              </w:rPr>
              <w:t>考查</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1.考勤及课堂表现：20%</w:t>
            </w:r>
          </w:p>
          <w:p>
            <w:pPr>
              <w:adjustRightInd w:val="0"/>
              <w:snapToGrid w:val="0"/>
              <w:spacing w:line="360" w:lineRule="exact"/>
              <w:jc w:val="left"/>
              <w:rPr>
                <w:rFonts w:ascii="仿宋" w:hAnsi="仿宋" w:eastAsia="仿宋" w:cs="宋体"/>
                <w:szCs w:val="21"/>
              </w:rPr>
            </w:pPr>
            <w:r>
              <w:rPr>
                <w:rFonts w:hint="eastAsia" w:ascii="仿宋" w:hAnsi="仿宋" w:eastAsia="仿宋" w:cs="宋体"/>
                <w:szCs w:val="21"/>
              </w:rPr>
              <w:t>2.四次阶段性考核：80%</w:t>
            </w:r>
          </w:p>
        </w:tc>
      </w:tr>
    </w:tbl>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pStyle w:val="2"/>
        <w:spacing w:before="190" w:after="190"/>
      </w:pPr>
      <w:bookmarkStart w:id="22" w:name="_Toc442023772"/>
      <w:bookmarkStart w:id="23" w:name="_Toc81163182"/>
      <w:bookmarkStart w:id="24" w:name="_Toc395088535"/>
      <w:r>
        <w:rPr>
          <w:rFonts w:hint="eastAsia"/>
        </w:rPr>
        <w:t>七、</w:t>
      </w:r>
      <w:bookmarkEnd w:id="22"/>
      <w:r>
        <w:rPr>
          <w:rFonts w:hint="eastAsia"/>
        </w:rPr>
        <w:t>学时安排与教学进程总体安排</w:t>
      </w:r>
      <w:bookmarkEnd w:id="23"/>
    </w:p>
    <w:p>
      <w:pPr>
        <w:pStyle w:val="3"/>
        <w:spacing w:before="190" w:after="190"/>
      </w:pPr>
      <w:bookmarkStart w:id="25" w:name="_Toc81163183"/>
      <w:r>
        <w:rPr>
          <w:rFonts w:hint="eastAsia"/>
        </w:rPr>
        <w:t>（一）学时安排（见表6）</w:t>
      </w:r>
      <w:bookmarkEnd w:id="25"/>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表6 教学活动时间分配表</w:t>
      </w:r>
    </w:p>
    <w:tbl>
      <w:tblPr>
        <w:tblStyle w:val="37"/>
        <w:tblpPr w:leftFromText="180" w:rightFromText="180" w:vertAnchor="text" w:horzAnchor="margin" w:tblpXSpec="center" w:tblpY="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929"/>
        <w:gridCol w:w="934"/>
        <w:gridCol w:w="936"/>
        <w:gridCol w:w="1028"/>
        <w:gridCol w:w="85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学年</w:t>
            </w:r>
          </w:p>
        </w:tc>
        <w:tc>
          <w:tcPr>
            <w:tcW w:w="850"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学期</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军训、入学教育、社会实践</w:t>
            </w:r>
          </w:p>
        </w:tc>
        <w:tc>
          <w:tcPr>
            <w:tcW w:w="929"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课程教学</w:t>
            </w:r>
          </w:p>
        </w:tc>
        <w:tc>
          <w:tcPr>
            <w:tcW w:w="934"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嵌入式教学</w:t>
            </w:r>
          </w:p>
        </w:tc>
        <w:tc>
          <w:tcPr>
            <w:tcW w:w="936"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顶岗实习准备</w:t>
            </w:r>
          </w:p>
        </w:tc>
        <w:tc>
          <w:tcPr>
            <w:tcW w:w="1028"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顶岗实习</w:t>
            </w:r>
          </w:p>
        </w:tc>
        <w:tc>
          <w:tcPr>
            <w:tcW w:w="851"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毕业教育</w:t>
            </w:r>
          </w:p>
        </w:tc>
        <w:tc>
          <w:tcPr>
            <w:tcW w:w="779" w:type="dxa"/>
            <w:tcBorders>
              <w:top w:val="single" w:color="auto" w:sz="4" w:space="0"/>
              <w:left w:val="single" w:color="auto" w:sz="4" w:space="0"/>
              <w:bottom w:val="single" w:color="auto" w:sz="4" w:space="0"/>
              <w:right w:val="single" w:color="auto" w:sz="4" w:space="0"/>
            </w:tcBorders>
            <w:vAlign w:val="center"/>
          </w:tcPr>
          <w:p>
            <w:pPr>
              <w:spacing w:after="100" w:afterAutospacing="1"/>
              <w:jc w:val="center"/>
              <w:rPr>
                <w:rFonts w:cs="宋体" w:asciiTheme="minorEastAsia" w:hAnsiTheme="minorEastAsia"/>
                <w:b/>
                <w:szCs w:val="21"/>
              </w:rPr>
            </w:pPr>
            <w:r>
              <w:rPr>
                <w:rFonts w:hint="eastAsia" w:cs="宋体" w:asciiTheme="minorEastAsia" w:hAnsi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不占用上课时间</w:t>
            </w: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2</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Ⅱ</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3</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4</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Ⅲ</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5</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6</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19</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87</w:t>
            </w:r>
          </w:p>
        </w:tc>
        <w:tc>
          <w:tcPr>
            <w:tcW w:w="9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2</w:t>
            </w:r>
          </w:p>
        </w:tc>
        <w:tc>
          <w:tcPr>
            <w:tcW w:w="9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10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19</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w:t>
            </w:r>
          </w:p>
        </w:tc>
        <w:tc>
          <w:tcPr>
            <w:tcW w:w="7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bCs/>
                <w:color w:val="000000"/>
              </w:rPr>
            </w:pPr>
            <w:r>
              <w:rPr>
                <w:rFonts w:hint="eastAsia" w:cs="宋体" w:asciiTheme="minorEastAsia" w:hAnsiTheme="minorEastAsia"/>
                <w:bCs/>
                <w:color w:val="000000"/>
              </w:rPr>
              <w:t>110</w:t>
            </w:r>
          </w:p>
        </w:tc>
      </w:tr>
    </w:tbl>
    <w:p/>
    <w:p/>
    <w:p/>
    <w:p/>
    <w:p/>
    <w:p>
      <w:pPr>
        <w:pStyle w:val="3"/>
        <w:spacing w:before="190" w:after="190"/>
      </w:pPr>
      <w:bookmarkStart w:id="26" w:name="_Toc81163184"/>
      <w:r>
        <w:rPr>
          <w:rFonts w:hint="eastAsia"/>
        </w:rPr>
        <w:t>（二）教学进程总体安排（见表7）</w:t>
      </w:r>
      <w:bookmarkEnd w:id="26"/>
    </w:p>
    <w:p>
      <w:pPr>
        <w:spacing w:beforeLines="50" w:afterLines="50"/>
        <w:jc w:val="center"/>
        <w:rPr>
          <w:rFonts w:hint="eastAsia" w:cs="宋体" w:asciiTheme="minorEastAsia" w:hAnsiTheme="minorEastAsia"/>
          <w:b/>
          <w:szCs w:val="21"/>
        </w:rPr>
      </w:pPr>
      <w:r>
        <w:rPr>
          <w:rFonts w:hint="eastAsia" w:cs="宋体" w:asciiTheme="minorEastAsia" w:hAnsiTheme="minorEastAsia"/>
          <w:b/>
          <w:szCs w:val="21"/>
        </w:rPr>
        <w:t xml:space="preserve">表7 </w:t>
      </w:r>
      <w:r>
        <w:rPr>
          <w:rFonts w:cs="宋体" w:asciiTheme="minorEastAsia" w:hAnsiTheme="minorEastAsia"/>
          <w:b/>
          <w:szCs w:val="21"/>
        </w:rPr>
        <w:t xml:space="preserve"> </w:t>
      </w:r>
      <w:r>
        <w:rPr>
          <w:rFonts w:hint="eastAsia" w:cs="宋体" w:asciiTheme="minorEastAsia" w:hAnsiTheme="minorEastAsia"/>
          <w:b/>
          <w:szCs w:val="21"/>
        </w:rPr>
        <w:t>教学进程总体安排表</w:t>
      </w:r>
    </w:p>
    <w:tbl>
      <w:tblPr>
        <w:tblStyle w:val="3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2"/>
        <w:gridCol w:w="658"/>
        <w:gridCol w:w="739"/>
        <w:gridCol w:w="892"/>
        <w:gridCol w:w="681"/>
        <w:gridCol w:w="681"/>
        <w:gridCol w:w="681"/>
        <w:gridCol w:w="707"/>
        <w:gridCol w:w="707"/>
        <w:gridCol w:w="707"/>
        <w:gridCol w:w="707"/>
        <w:gridCol w:w="707"/>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blHeader/>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课程</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类别</w:t>
            </w:r>
          </w:p>
        </w:tc>
        <w:tc>
          <w:tcPr>
            <w:tcW w:w="12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课程名称</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总学时</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理论</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学时</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实践</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学时</w:t>
            </w:r>
          </w:p>
        </w:tc>
        <w:tc>
          <w:tcPr>
            <w:tcW w:w="2322"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学期及周课时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blHeader/>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12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2322"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blHeader/>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12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第一</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第二</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第三</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第四</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第五</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第六</w:t>
            </w:r>
            <w:r>
              <w:rPr>
                <w:rFonts w:hint="eastAsia" w:asciiTheme="minorEastAsia" w:hAnsiTheme="minorEastAsia" w:eastAsiaTheme="minorEastAsia" w:cstheme="minorEastAsia"/>
                <w:b/>
                <w:i w:val="0"/>
                <w:color w:val="000000"/>
                <w:kern w:val="0"/>
                <w:sz w:val="21"/>
                <w:szCs w:val="21"/>
                <w:u w:val="none"/>
                <w:lang w:val="en-US" w:eastAsia="zh-CN" w:bidi="ar"/>
              </w:rPr>
              <w:br w:type="textWrapping"/>
            </w:r>
            <w:r>
              <w:rPr>
                <w:rFonts w:hint="eastAsia" w:asciiTheme="minorEastAsia" w:hAnsiTheme="minorEastAsia" w:eastAsiaTheme="minorEastAsia" w:cstheme="minorEastAsia"/>
                <w:b/>
                <w:i w:val="0"/>
                <w:color w:val="000000"/>
                <w:kern w:val="0"/>
                <w:sz w:val="21"/>
                <w:szCs w:val="21"/>
                <w:u w:val="none"/>
                <w:lang w:val="en-US" w:eastAsia="zh-CN" w:bidi="ar"/>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blHeader/>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12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heme="minorEastAsia" w:hAnsiTheme="minorEastAsia" w:eastAsiaTheme="minorEastAsia" w:cstheme="minorEastAsia"/>
                <w:b/>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17</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val="0"/>
              <w:ind w:left="113" w:right="113" w:firstLine="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公共基础课程</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思政1-中国特色社会主义</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思政2-心理健康与职业生涯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思政3-哲学与人生</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思政4-职业道德与法治</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历史</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英语</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体育与健康</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信息技术</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1178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928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250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10</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val="0"/>
              <w:ind w:left="113" w:right="113" w:firstLine="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专业（技能）课</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专业基础模块课程</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旅游接待人员规范</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普通话</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旅游概论</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中国旅游地理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旅游岗位英语</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导游基础知识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旅游政策与法规</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旅游心理学</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中国旅游客源地概况</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艺术欣赏</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760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444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316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14</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val="0"/>
              <w:ind w:left="113" w:right="113" w:firstLine="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专业（技能）课</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专业方向模块课程</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旅游服务方向课程</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旅行社运营实务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旅行社计调与外联</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导游实务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模拟导游</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旅行社门市接待</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480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268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212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酒店拓展方向课程</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餐饮服务与管理</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茶艺</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咖啡技艺</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西点制作</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252</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学时合计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2670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1740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930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30</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6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综合实践</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顶岗实习准备</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顶岗实习</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毕业教育</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6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color w:val="000000"/>
                <w:sz w:val="21"/>
                <w:szCs w:val="21"/>
                <w:u w:val="none"/>
              </w:rPr>
            </w:pP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630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630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总学时数</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3300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1740</w:t>
            </w:r>
          </w:p>
        </w:tc>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1560</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b/>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类别</w:t>
            </w:r>
          </w:p>
        </w:tc>
        <w:tc>
          <w:tcPr>
            <w:tcW w:w="1110"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公共基础课</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专业课</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理论课</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实践课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1567"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占总学时比例（%）</w:t>
            </w:r>
          </w:p>
        </w:tc>
        <w:tc>
          <w:tcPr>
            <w:tcW w:w="1110"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36%</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64%</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53%</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i w:val="0"/>
                <w:color w:val="FF0000"/>
                <w:sz w:val="21"/>
                <w:szCs w:val="21"/>
                <w:u w:val="none"/>
              </w:rPr>
            </w:pPr>
            <w:r>
              <w:rPr>
                <w:rFonts w:hint="eastAsia" w:ascii="仿宋" w:hAnsi="仿宋" w:eastAsia="仿宋" w:cs="仿宋"/>
                <w:b/>
                <w:i w:val="0"/>
                <w:color w:val="FF0000"/>
                <w:kern w:val="0"/>
                <w:sz w:val="21"/>
                <w:szCs w:val="21"/>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7"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1.第1-4学期每个学期教学时间共计18周。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2.第5学期安排教学周17周，顶岗实习准备1周。</w:t>
            </w:r>
          </w:p>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3.第6学期安排顶岗实习19周，毕业教育1周。</w:t>
            </w:r>
          </w:p>
        </w:tc>
      </w:tr>
      <w:bookmarkEnd w:id="24"/>
    </w:tbl>
    <w:p>
      <w:pPr>
        <w:pStyle w:val="2"/>
        <w:spacing w:before="190" w:after="190"/>
      </w:pPr>
      <w:bookmarkStart w:id="27" w:name="_Toc442023774"/>
      <w:bookmarkStart w:id="28" w:name="_Toc81163185"/>
      <w:bookmarkStart w:id="29" w:name="_Toc395088536"/>
      <w:bookmarkStart w:id="43" w:name="_GoBack"/>
      <w:bookmarkEnd w:id="43"/>
      <w:r>
        <w:rPr>
          <w:rFonts w:hint="eastAsia"/>
        </w:rPr>
        <w:t>八、实施保障</w:t>
      </w:r>
      <w:bookmarkEnd w:id="27"/>
      <w:bookmarkEnd w:id="28"/>
    </w:p>
    <w:p>
      <w:pPr>
        <w:pStyle w:val="3"/>
        <w:spacing w:before="190" w:after="190"/>
        <w:rPr>
          <w:color w:val="000000"/>
        </w:rPr>
      </w:pPr>
      <w:bookmarkStart w:id="30" w:name="_Toc81163186"/>
      <w:bookmarkStart w:id="31" w:name="_Toc442023778"/>
      <w:r>
        <w:rPr>
          <w:rFonts w:hint="eastAsia"/>
          <w:color w:val="000000"/>
        </w:rPr>
        <w:t>（一）师资队伍</w:t>
      </w:r>
      <w:bookmarkEnd w:id="30"/>
      <w:bookmarkEnd w:id="31"/>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根据《</w:t>
      </w:r>
      <w:r>
        <w:rPr>
          <w:rFonts w:asciiTheme="minorEastAsia" w:hAnsiTheme="minorEastAsia"/>
          <w:sz w:val="28"/>
          <w:szCs w:val="28"/>
        </w:rPr>
        <w:t>十四五期间中小学教师队伍建设工作意见</w:t>
      </w:r>
      <w:r>
        <w:rPr>
          <w:rFonts w:hint="eastAsia" w:asciiTheme="minorEastAsia" w:hAnsiTheme="minorEastAsia"/>
          <w:sz w:val="28"/>
          <w:szCs w:val="28"/>
        </w:rPr>
        <w:t>》、《中等职业学校教师专业标准》和《中等职业学校设置标准》，依据招生规模、设备配备等情况确定教师队伍及结构。师资队伍的基本要求详见表10。</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表10 师资队伍的基本要求</w:t>
      </w:r>
    </w:p>
    <w:tbl>
      <w:tblPr>
        <w:tblStyle w:val="3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53"/>
        <w:gridCol w:w="58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sz w:val="24"/>
                <w:szCs w:val="18"/>
              </w:rPr>
            </w:pPr>
            <w:r>
              <w:rPr>
                <w:rFonts w:hint="eastAsia" w:ascii="仿宋_GB2312" w:hAnsi="宋体" w:eastAsia="仿宋_GB2312" w:cs="宋体"/>
                <w:b/>
                <w:sz w:val="24"/>
                <w:szCs w:val="18"/>
              </w:rPr>
              <w:t>项   目</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b/>
                <w:sz w:val="24"/>
                <w:szCs w:val="18"/>
              </w:rPr>
            </w:pPr>
            <w:r>
              <w:rPr>
                <w:rFonts w:hint="eastAsia" w:ascii="仿宋_GB2312" w:hAnsi="宋体" w:eastAsia="仿宋_GB2312" w:cs="宋体"/>
                <w:b/>
                <w:sz w:val="24"/>
                <w:szCs w:val="18"/>
              </w:rPr>
              <w:t>要     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师生比</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按1:18师生比配备教师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专兼教师比</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按4:1配备专兼职教师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双师素质结构</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双师素质型占全部教师比例的95%以上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专业带头人</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1-2名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355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学历结构</w:t>
            </w:r>
          </w:p>
        </w:tc>
        <w:tc>
          <w:tcPr>
            <w:tcW w:w="584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宋体" w:eastAsia="仿宋_GB2312" w:cs="宋体"/>
                <w:szCs w:val="18"/>
              </w:rPr>
            </w:pPr>
            <w:r>
              <w:rPr>
                <w:rFonts w:hint="eastAsia" w:ascii="仿宋_GB2312" w:hAnsi="宋体" w:eastAsia="仿宋_GB2312" w:cs="宋体"/>
                <w:szCs w:val="18"/>
              </w:rPr>
              <w:t>至少具有本科及以上学历</w:t>
            </w:r>
          </w:p>
        </w:tc>
      </w:tr>
    </w:tbl>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专任教师应具有本科及以上学历，具有中等职业学校教师资格证书，每年应有不少于1个月的企业实践经历；具有良好的师德，关注学生发展，熟悉教学规律，具备终身学习能力和教学改革意识。</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专业技能课教师应具有实际工作能力，熟悉高星级饭店、旅行社、旅游景区主要对客服务工作岗位流程，能持续吸收行业和教育界新知，具备教学设计和实施课程教学的能力。</w:t>
      </w:r>
      <w:r>
        <w:rPr>
          <w:rFonts w:asciiTheme="minorEastAsia" w:hAnsiTheme="minorEastAsia"/>
          <w:sz w:val="28"/>
          <w:szCs w:val="28"/>
        </w:rPr>
        <w:t xml:space="preserve"> </w:t>
      </w:r>
    </w:p>
    <w:p/>
    <w:p>
      <w:pPr>
        <w:pStyle w:val="3"/>
        <w:spacing w:before="190" w:after="190"/>
      </w:pPr>
      <w:bookmarkStart w:id="32" w:name="_Toc81163187"/>
      <w:r>
        <w:t>（二）教学设施</w:t>
      </w:r>
      <w:bookmarkEnd w:id="32"/>
    </w:p>
    <w:p>
      <w:pPr>
        <w:ind w:firstLine="560" w:firstLineChars="200"/>
        <w:rPr>
          <w:rFonts w:asciiTheme="minorEastAsia" w:hAnsiTheme="minorEastAsia"/>
          <w:sz w:val="28"/>
          <w:szCs w:val="28"/>
        </w:rPr>
      </w:pPr>
      <w:r>
        <w:rPr>
          <w:rFonts w:hint="eastAsia" w:asciiTheme="minorEastAsia" w:hAnsiTheme="minorEastAsia"/>
          <w:sz w:val="28"/>
          <w:szCs w:val="28"/>
        </w:rPr>
        <w:t>1.教学设计</w:t>
      </w:r>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学校在制定工学结合的专业人才培养方案的同时，按照课程标准，结合学校教学实际，明确主要教学内容，设计训练项目，明确教学的主要组织形式，加强案例、素材等教学资源的收集和整理，建设数字化教学资源。</w:t>
      </w:r>
      <w:r>
        <w:rPr>
          <w:rFonts w:asciiTheme="minorEastAsia" w:hAnsiTheme="minorEastAsia"/>
          <w:sz w:val="28"/>
          <w:szCs w:val="28"/>
        </w:rPr>
        <w:t xml:space="preserve"> </w:t>
      </w:r>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公共基础课要符合教育部有关教育教学基本要求，是提高学生服务意识、夯实文化基础，是提升学生素养的重要保证。公共基础课要为学生树立正确的人生观、价值观和全面的素质培养服务，为学生专业能力的学习和岗位需要以及持续发展服务，为学生的终身教育发展需要服务。</w:t>
      </w:r>
      <w:r>
        <w:rPr>
          <w:rFonts w:asciiTheme="minorEastAsia" w:hAnsiTheme="minorEastAsia"/>
          <w:sz w:val="28"/>
          <w:szCs w:val="28"/>
        </w:rPr>
        <w:t xml:space="preserve"> </w:t>
      </w:r>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通过深入企业调研，分析旅行社、景区、博物馆、饭店行业典型职业活动和核心职业技能，由理论专家、行业专家、专业教师组成课程改革课题小组共同构建基于旅行社、饭店工作过程，以项目为导向、以工作任务为载体、以职业生涯发展线路为整体脉络的课程体系，专业技能课程体现课程设置与职业岗位群对接，课程内容与岗位核心人物对接，按照相应职业岗位群的能力要求，强调理论实践一体化。</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2.</w:t>
      </w:r>
      <w:bookmarkStart w:id="33" w:name="_Toc442023776"/>
      <w:r>
        <w:rPr>
          <w:rFonts w:hint="eastAsia" w:asciiTheme="minorEastAsia" w:hAnsiTheme="minorEastAsia"/>
          <w:sz w:val="28"/>
          <w:szCs w:val="28"/>
        </w:rPr>
        <w:t>实训基地</w:t>
      </w:r>
      <w:bookmarkEnd w:id="33"/>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根据人才培养模式和课程体系教学需求，以虚实互补、数字化教学为特色完善校内实训基地，校企共建的校外实训基地。完善教学资源、更新换代、虚拟仿真等形式进行校内实训基地建设。本着“实用、够用、好用”的原则，对旅行社教学模块、酒店教学模块、会展接待教学模块进行相应的建设。建设以旅行社教学模块和景区讲解接待教学模块的实训室为主体，以咖啡、调酒、茶艺教学的实训室为特色，以数字化虚拟实训为辅助功能的校内实训基地，使校内实训基地成为具有教学、培训等功能的开放性实训基地。</w:t>
      </w:r>
    </w:p>
    <w:p>
      <w:pPr>
        <w:ind w:firstLine="560" w:firstLineChars="200"/>
        <w:rPr>
          <w:rFonts w:asciiTheme="minorEastAsia" w:hAnsiTheme="minorEastAsia"/>
          <w:sz w:val="28"/>
          <w:szCs w:val="28"/>
        </w:rPr>
      </w:pPr>
      <w:bookmarkStart w:id="34" w:name="_Toc395088561"/>
      <w:r>
        <w:rPr>
          <w:rFonts w:hint="eastAsia" w:asciiTheme="minorEastAsia" w:hAnsiTheme="minorEastAsia"/>
          <w:sz w:val="28"/>
          <w:szCs w:val="28"/>
        </w:rPr>
        <w:t>（1）校内实训基地</w:t>
      </w:r>
      <w:bookmarkEnd w:id="34"/>
      <w:r>
        <w:rPr>
          <w:rFonts w:hint="eastAsia" w:asciiTheme="minorEastAsia" w:hAnsiTheme="minorEastAsia"/>
          <w:sz w:val="28"/>
          <w:szCs w:val="28"/>
        </w:rPr>
        <w:t>（见表8）</w:t>
      </w:r>
    </w:p>
    <w:p>
      <w:pPr>
        <w:autoSpaceDE w:val="0"/>
        <w:autoSpaceDN w:val="0"/>
        <w:adjustRightInd w:val="0"/>
        <w:spacing w:line="36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1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①</w:t>
      </w:r>
      <w:r>
        <w:rPr>
          <w:rFonts w:asciiTheme="minorEastAsia" w:hAnsiTheme="minorEastAsia"/>
          <w:sz w:val="28"/>
          <w:szCs w:val="28"/>
        </w:rPr>
        <w:fldChar w:fldCharType="end"/>
      </w:r>
      <w:r>
        <w:rPr>
          <w:rFonts w:hint="eastAsia" w:asciiTheme="minorEastAsia" w:hAnsiTheme="minorEastAsia"/>
          <w:sz w:val="28"/>
          <w:szCs w:val="28"/>
        </w:rPr>
        <w:t>旅游仿真实训基地（集模拟导游实训室、景区沙盘展示实训室为一体的综合实训基地），校内建立旅游虚拟仿真实训系统，利用多媒体互动式视频教学软件，建设都江堰景区沙盘展示区、成都市景点分布沙盘展示区、学校两个校区沙盘展示区，提供整个旅游过程情景仿真体验，通过集声、光、电于一体的多媒体实现旅游环境虚拟环境仿真系统体验，达到训练学生讲解的技能。</w:t>
      </w:r>
    </w:p>
    <w:p>
      <w:pPr>
        <w:autoSpaceDE w:val="0"/>
        <w:autoSpaceDN w:val="0"/>
        <w:adjustRightInd w:val="0"/>
        <w:spacing w:line="360" w:lineRule="exact"/>
        <w:ind w:firstLine="5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2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②</w:t>
      </w:r>
      <w:r>
        <w:rPr>
          <w:rFonts w:asciiTheme="minorEastAsia" w:hAnsiTheme="minorEastAsia"/>
          <w:sz w:val="28"/>
          <w:szCs w:val="28"/>
        </w:rPr>
        <w:fldChar w:fldCharType="end"/>
      </w:r>
      <w:r>
        <w:rPr>
          <w:rFonts w:hint="eastAsia" w:asciiTheme="minorEastAsia" w:hAnsiTheme="minorEastAsia"/>
          <w:sz w:val="28"/>
          <w:szCs w:val="28"/>
        </w:rPr>
        <w:t>建立吃住行游购娱一体的综合旅游实训中心，酒店仿真实训基地（集康乐服务、咖啡服务实训室、西点制作实训室、茶艺实训室、客房服务实训室、餐饮服务实训室于一体的综合实训基地），酒店仿真实训基地为客房、餐饮、咖啡、茶艺等课程的学习提供训练场地，在实训过程中提高学生自身技能，达到校内仿真教学的目的。</w:t>
      </w:r>
    </w:p>
    <w:p>
      <w:pPr>
        <w:autoSpaceDE w:val="0"/>
        <w:autoSpaceDN w:val="0"/>
        <w:adjustRightInd w:val="0"/>
        <w:spacing w:line="360" w:lineRule="exact"/>
        <w:ind w:firstLine="560" w:firstLineChars="200"/>
        <w:rPr>
          <w:rFonts w:asciiTheme="minorEastAsia" w:hAnsiTheme="minorEastAsia"/>
          <w:sz w:val="28"/>
          <w:szCs w:val="28"/>
        </w:rPr>
      </w:pPr>
    </w:p>
    <w:p>
      <w:pPr>
        <w:autoSpaceDE w:val="0"/>
        <w:autoSpaceDN w:val="0"/>
        <w:adjustRightInd w:val="0"/>
        <w:spacing w:line="360" w:lineRule="exact"/>
        <w:ind w:firstLine="560" w:firstLineChars="200"/>
        <w:rPr>
          <w:rFonts w:asciiTheme="minorEastAsia" w:hAnsiTheme="minorEastAsia"/>
          <w:sz w:val="28"/>
          <w:szCs w:val="28"/>
        </w:rPr>
      </w:pP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表8 校内实训基地一览表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26"/>
        <w:gridCol w:w="1276"/>
        <w:gridCol w:w="992"/>
        <w:gridCol w:w="85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blHeader/>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建筑面积</w:t>
            </w:r>
          </w:p>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w:t>
            </w:r>
            <w:r>
              <w:rPr>
                <w:rFonts w:hint="eastAsia" w:ascii="宋体" w:hAnsi="宋体" w:cs="宋体"/>
                <w:b/>
                <w:color w:val="000000"/>
                <w:sz w:val="24"/>
              </w:rPr>
              <w:t>㎡</w:t>
            </w:r>
            <w:r>
              <w:rPr>
                <w:rFonts w:hint="eastAsia" w:ascii="仿宋_GB2312" w:hAnsi="仿宋_GB2312" w:eastAsia="仿宋_GB2312" w:cs="仿宋_GB2312"/>
                <w:b/>
                <w:color w:val="000000"/>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工位数</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设备</w:t>
            </w:r>
          </w:p>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件数</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３Ｄ景区讲解实训室</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300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56</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285</w:t>
            </w:r>
          </w:p>
        </w:tc>
        <w:tc>
          <w:tcPr>
            <w:tcW w:w="27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kern w:val="0"/>
              </w:rPr>
              <w:t>旅游门市接待服务、旅游团队接团服务、导游讲解与接待服务、旅游接待中问题与事故的处理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导游综合技能实训室</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56</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rPr>
            </w:pPr>
          </w:p>
        </w:tc>
        <w:tc>
          <w:tcPr>
            <w:tcW w:w="2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旅游综合实训中心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800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405</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kern w:val="0"/>
              </w:rPr>
              <w:t>餐厅服务基础知识与操作技能、客房服务基础知识与操作技能、咖啡服务基础知识与操作技能、茶艺服务基础知识与操作技能、茶席布置与设计、茶席插花等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校史陈列馆实训中心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500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40</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136</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color w:val="000000"/>
              </w:rPr>
            </w:pPr>
            <w:r>
              <w:rPr>
                <w:rFonts w:hint="eastAsia" w:ascii="仿宋_GB2312" w:hAnsi="宋体" w:eastAsia="仿宋_GB2312" w:cs="宋体"/>
                <w:color w:val="000000"/>
              </w:rPr>
              <w:t>讲解服务</w:t>
            </w:r>
          </w:p>
        </w:tc>
      </w:tr>
    </w:tbl>
    <w:p>
      <w:pPr>
        <w:ind w:firstLine="560" w:firstLineChars="200"/>
        <w:rPr>
          <w:rFonts w:asciiTheme="minorEastAsia" w:hAnsiTheme="minorEastAsia"/>
          <w:sz w:val="28"/>
          <w:szCs w:val="28"/>
        </w:rPr>
      </w:pPr>
      <w:bookmarkStart w:id="35" w:name="_Toc395088562"/>
      <w:r>
        <w:rPr>
          <w:rFonts w:hint="eastAsia" w:asciiTheme="minorEastAsia" w:hAnsiTheme="minorEastAsia"/>
          <w:sz w:val="28"/>
          <w:szCs w:val="28"/>
        </w:rPr>
        <w:t>（2）校外实训基地建设</w:t>
      </w:r>
      <w:bookmarkEnd w:id="35"/>
      <w:r>
        <w:rPr>
          <w:rFonts w:hint="eastAsia" w:asciiTheme="minorEastAsia" w:hAnsiTheme="minorEastAsia"/>
          <w:sz w:val="28"/>
          <w:szCs w:val="28"/>
        </w:rPr>
        <w:t>（见表9）</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密切与行业、企业的联系，进一步与旅行社、星级酒店、特色农家乐、景区、企事业单位加强合作，建立了多家稳定的校外实训基地，加强和推进了校外顶岗实习的力度。按照本专业的培养目标和实践性技能训练的要求，我专业与多家企业进行了校企合作，建立了相对固定的多家校外实训基地，借助企业的人才、技术和设备资源优势，为教学服务，为学生提供了参观、毕业实习的实践场所。这些校外实训基地，能够满足课程现场教学、专业实习、顶岗实习的需要，学生在校外实习基地通过教师及校外工程技术人员的悉心指导下，使学生从校内的模拟实训到校外实训基地真题真做的实践锻炼，为培养高素质应用性人才创造了良好的实践教学环境。除此之外，我们还在相关行业企业中积极联系具有较好的设备条件和管理水平的其他企事业单位作为我校的实训基地，为我专业学参加工程实践，深入生产第一线、了解企业实际、体验企业文化，提供更多的实践、实习机会。让学生能在真实的职业环境中顶岗学习。</w:t>
      </w:r>
    </w:p>
    <w:p>
      <w:pPr>
        <w:spacing w:beforeLines="50" w:afterLines="50"/>
        <w:jc w:val="center"/>
        <w:rPr>
          <w:rFonts w:cs="宋体" w:asciiTheme="minorEastAsia" w:hAnsiTheme="minorEastAsia"/>
          <w:b/>
          <w:szCs w:val="21"/>
        </w:rPr>
      </w:pPr>
      <w:r>
        <w:rPr>
          <w:rFonts w:hint="eastAsia" w:cs="宋体" w:asciiTheme="minorEastAsia" w:hAnsiTheme="minorEastAsia"/>
          <w:b/>
          <w:szCs w:val="21"/>
        </w:rPr>
        <w:t>表9 校外实训基地一览表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2268"/>
        <w:gridCol w:w="127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blHeader/>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0"/>
                <w:sz w:val="24"/>
                <w:szCs w:val="24"/>
              </w:rPr>
            </w:pPr>
            <w:r>
              <w:rPr>
                <w:rFonts w:hint="eastAsia" w:ascii="仿宋_GB2312" w:eastAsia="仿宋_GB2312"/>
                <w:b/>
                <w:color w:val="000000"/>
                <w:kern w:val="0"/>
                <w:sz w:val="24"/>
                <w:szCs w:val="24"/>
              </w:rPr>
              <w:t>基地名称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0"/>
                <w:sz w:val="24"/>
                <w:szCs w:val="24"/>
              </w:rPr>
            </w:pPr>
            <w:r>
              <w:rPr>
                <w:rFonts w:hint="eastAsia" w:ascii="仿宋_GB2312" w:eastAsia="仿宋_GB2312"/>
                <w:b/>
                <w:color w:val="000000"/>
                <w:kern w:val="0"/>
                <w:sz w:val="24"/>
                <w:szCs w:val="24"/>
              </w:rPr>
              <w:t>功能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0"/>
                <w:sz w:val="24"/>
                <w:szCs w:val="24"/>
              </w:rPr>
            </w:pPr>
            <w:r>
              <w:rPr>
                <w:rFonts w:hint="eastAsia" w:ascii="仿宋_GB2312" w:eastAsia="仿宋_GB2312"/>
                <w:b/>
                <w:color w:val="000000"/>
                <w:kern w:val="0"/>
                <w:sz w:val="24"/>
                <w:szCs w:val="24"/>
              </w:rPr>
              <w:t>实训容量</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kern w:val="0"/>
                <w:sz w:val="24"/>
                <w:szCs w:val="24"/>
              </w:rPr>
            </w:pPr>
            <w:r>
              <w:rPr>
                <w:rFonts w:hint="eastAsia" w:ascii="仿宋_GB2312" w:eastAsia="仿宋_GB2312"/>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成都中国国际旅行社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旅行社实习与见习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成都海外旅行社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旅行社实习与见习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青白江区凤凰湖管理委员会</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景区实习与见习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Cs w:val="21"/>
              </w:rPr>
            </w:pPr>
            <w:r>
              <w:rPr>
                <w:rFonts w:hint="eastAsia" w:ascii="仿宋_GB2312" w:hAnsi="宋体" w:eastAsia="仿宋_GB2312"/>
                <w:color w:val="000000"/>
                <w:szCs w:val="21"/>
              </w:rPr>
              <w:t>青白江凤凰湖天泉酒店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25人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kern w:val="0"/>
                <w:szCs w:val="21"/>
              </w:rPr>
            </w:pPr>
            <w:r>
              <w:rPr>
                <w:rFonts w:hint="eastAsia" w:ascii="仿宋_GB2312" w:hAnsi="宋体" w:eastAsia="仿宋_GB2312"/>
                <w:szCs w:val="21"/>
              </w:rPr>
              <w:t>高新豪森酒店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25人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成都名堂餐饮</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餐厅实习与见习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15人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三亚美高梅酒店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25人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kern w:val="0"/>
                <w:szCs w:val="21"/>
              </w:rPr>
            </w:pPr>
            <w:r>
              <w:rPr>
                <w:rFonts w:hint="eastAsia" w:ascii="仿宋_GB2312" w:hAnsi="宋体" w:eastAsia="仿宋_GB2312"/>
                <w:szCs w:val="21"/>
              </w:rPr>
              <w:t>三亚丽思卡尔顿酒店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25</w:t>
            </w:r>
            <w:r>
              <w:rPr>
                <w:rFonts w:hint="eastAsia"/>
                <w:color w:val="000000"/>
                <w:kern w:val="0"/>
                <w:szCs w:val="21"/>
              </w:rPr>
              <w:t>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8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Cs w:val="21"/>
              </w:rPr>
            </w:pPr>
            <w:r>
              <w:rPr>
                <w:rFonts w:hint="eastAsia" w:ascii="仿宋_GB2312" w:hAnsi="宋体" w:eastAsia="仿宋_GB2312"/>
                <w:szCs w:val="21"/>
              </w:rPr>
              <w:t>三亚威斯汀酒店</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kern w:val="0"/>
                <w:szCs w:val="21"/>
              </w:rPr>
            </w:pPr>
            <w:r>
              <w:rPr>
                <w:rFonts w:hint="eastAsia" w:ascii="仿宋_GB2312" w:eastAsia="仿宋_GB2312"/>
                <w:color w:val="000000"/>
                <w:kern w:val="0"/>
                <w:szCs w:val="21"/>
              </w:rPr>
              <w:t>酒店实习与见习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25</w:t>
            </w:r>
            <w:r>
              <w:rPr>
                <w:rFonts w:hint="eastAsia"/>
                <w:color w:val="000000"/>
                <w:kern w:val="0"/>
                <w:szCs w:val="21"/>
              </w:rPr>
              <w:t>人</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rPr>
            </w:pPr>
          </w:p>
        </w:tc>
      </w:tr>
    </w:tbl>
    <w:p>
      <w:pPr>
        <w:pStyle w:val="3"/>
        <w:spacing w:before="190" w:after="190"/>
      </w:pPr>
      <w:bookmarkStart w:id="36" w:name="_Toc81163188"/>
      <w:r>
        <w:rPr>
          <w:rFonts w:hint="eastAsia"/>
        </w:rPr>
        <w:t>（三）</w:t>
      </w:r>
      <w:r>
        <w:t>教学资源</w:t>
      </w:r>
      <w:bookmarkEnd w:id="36"/>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教学资源主要包括能够满足学生学习、教师教学所需的教材、图书文献及数字化资源等。</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1.教材选用</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按照国家规定选用优质教材，禁止不合格的教材进入课堂。学校应建立由专业教师、行业专家和教研人员等参与的教材选用机构，完善教材选用制度，按照规范程序，严格选用国家和地方规划教材。同时，学校可适当开发针对性强的校本教材。</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2.图书文献资料</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学校图书馆配备本专业相关图书文献资料，应能满足人才培养、专业建设、教科研等工作的需要，方便师生查询、借阅，且定期更新。主要包括本专业的教材、教参、行业政策法规、行业标准、职业标准以及旅游、酒店等专业学术期刊。</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3.数字资源</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创新教材展示方式，实现教材、教辅、教具、学具、课件和网站等多种介质的立体化融合。借助专业指导委员会平台，组织相关企业技术人员、教学经验丰富的教师，建立教学素材、专业课实训教程、网络课程等专业教学资源中心。利用学校网络等现代教学手段和资源，提高教学效果。借鉴各地先进教学资源，开展经验交流活动，与周边学校共同开发电子教案、多媒体课件、考试习题集、教学资料光碟等，建立立体化教学资源库。</w:t>
      </w:r>
    </w:p>
    <w:p>
      <w:pPr>
        <w:pStyle w:val="3"/>
        <w:spacing w:before="190" w:after="190"/>
      </w:pPr>
      <w:bookmarkStart w:id="37" w:name="_Toc81163189"/>
      <w:r>
        <w:rPr>
          <w:rFonts w:hint="eastAsia"/>
        </w:rPr>
        <w:t>（四）教学方法</w:t>
      </w:r>
      <w:bookmarkEnd w:id="37"/>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按照“教、学、做合一”的总体原则，根据课程性质，采用班级授课、分组教学、现场互动、技术讲座等形式组织教学；应用操作法、案例法、任务驱动法、情景教学法等现代教学方法；充分利用多媒体、网络等信息化手段实施教学，积极开展师生教学互动，大力提倡学生自主学习、自主探索、达到共同学习、共同提高的目的。</w:t>
      </w:r>
      <w:r>
        <w:rPr>
          <w:rFonts w:asciiTheme="minorEastAsia" w:hAnsiTheme="minorEastAsia"/>
          <w:sz w:val="28"/>
          <w:szCs w:val="28"/>
        </w:rPr>
        <w:t xml:space="preserve"> </w:t>
      </w:r>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基础课要注重教学方法、教学组织形式的改革，教学手段、教学模式的创新，调动学生学习积极性，为学生综合素质的提高、职业能力的形成和可持续发展奠定基础。专业基础课突出“做中学、做中教”的职教特色，提倡项目教学、任务教学、角色扮演、情景教学、案例教学等方法，将学生的自主学习、合作学习和教师引导教学等教学组织形式有机结合。总之，要以学生为中心，充分发挥教师引导、帮助和组织作用，调动学生学习的主观能动性，加强对学生学习过程的指导。</w:t>
      </w:r>
      <w:r>
        <w:rPr>
          <w:rFonts w:asciiTheme="minorEastAsia" w:hAnsiTheme="minorEastAsia"/>
          <w:sz w:val="28"/>
          <w:szCs w:val="28"/>
        </w:rPr>
        <w:t xml:space="preserve"> </w:t>
      </w:r>
    </w:p>
    <w:p>
      <w:pPr>
        <w:pStyle w:val="3"/>
        <w:spacing w:before="190" w:after="190"/>
        <w:rPr>
          <w:rFonts w:ascii="Helvetica" w:hAnsi="Helvetica" w:eastAsia="宋体"/>
          <w:color w:val="333333"/>
          <w:sz w:val="26"/>
          <w:szCs w:val="26"/>
        </w:rPr>
      </w:pPr>
      <w:bookmarkStart w:id="38" w:name="_Toc81163190"/>
      <w:r>
        <w:rPr>
          <w:rFonts w:hint="eastAsia"/>
        </w:rPr>
        <w:t>（五）教学管理</w:t>
      </w:r>
      <w:bookmarkEnd w:id="38"/>
      <w:r>
        <w:rPr>
          <w:rFonts w:ascii="Helvetica" w:hAnsi="Helvetica" w:eastAsia="宋体"/>
          <w:color w:val="333333"/>
          <w:sz w:val="26"/>
          <w:szCs w:val="26"/>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教学是学校的中心，所有的工作都是要服从于这一中心，因此应加强教学管理。学校推行“工学交替”的教学管理理念，既重知识又技能和素养的教学管理方式。将规范性和灵活性结合，合理调配教师、实训室和实训场地等教学资源，为课程实施创造条件。</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学校积极深化校企合作，与企业合作制定人才培养方案；共同开发课程、编订教材；共同实施教学实训、评价考核，携手管理，合作育人。</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学校协调组织建立专业教学指导委员会，制定专业教学指导实施方案，规范教学实施。加强对教学过程的质量监控，完善教学评价的标准和方法，促进教师教学能力的提升，确保教学质量。</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业教学管理严格实行学校的三级管理体系：专业部在专业建设指导委员会的指导下制定专业的教学计划、教学工作的安排；教务处对专业部制定的教学计划进行审定。学校教学委员会、专业部教学委员会和工会对教学过程进行监督和评价。</w:t>
      </w:r>
    </w:p>
    <w:p>
      <w:pPr>
        <w:pStyle w:val="3"/>
        <w:spacing w:before="190" w:after="190"/>
      </w:pPr>
      <w:bookmarkStart w:id="39" w:name="_Toc81163191"/>
      <w:r>
        <w:t>（</w:t>
      </w:r>
      <w:r>
        <w:rPr>
          <w:rFonts w:hint="eastAsia"/>
        </w:rPr>
        <w:t>六</w:t>
      </w:r>
      <w:r>
        <w:t>）</w:t>
      </w:r>
      <w:r>
        <w:rPr>
          <w:rFonts w:hint="eastAsia"/>
        </w:rPr>
        <w:t>教学</w:t>
      </w:r>
      <w:r>
        <w:t>评价</w:t>
      </w:r>
      <w:bookmarkEnd w:id="39"/>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根据本专业培养目标和人才理念，建立以学生职业素养、岗位能力培养为核心，教育与产业、校内与校外相结合的科学评价标准。评价环节包括对教学过程中教师、学生、教学内容、教学方法、教学手段、教学环境、教学管理等因素的评价，强化对学生学习效果和教师教学过程的评价。采用学分制、多层次、多元化的考评方法，引导学生全面提升和个性发展。</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教学评价应体现评价主体、评价方式、评价过程的多元化，吸收学生家长、旅行社参与。校内、校外评价结合，行业资格证考试、职业技能鉴定与学业考核结合，教师评价、学生互评与自我评价结合，过程性评价与结果性评价结合。</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1.对专业教学质量的评价</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学校应建立专业教学质量评价制度，按照教育行政部门的总体要求，把就业率、对口就业率和就业质量作为评价专业教学质量的核心指标；针对专业特点，制订专业教学质量评价方案和评价细则，广泛吸收行业、企业特别是用人单位参与评价，逐步建立第三方评价专业教学质量机制；要把课程评价作为专业教学质量评价的重要内容，建立健全人才培养方案动态调整机制，推动课程体系不断更新和完善。专业教学质量评价结果要在一定范围内公开和发布。</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2.对教师的评价</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建立健全的教师教育教学评价制度，把师德师风、专业教学、教育教学研究与社会服务作为评价的核心指标，要采取学生评教、教师互评、企业评价、学校和专业评价等多种方式，不断完善教师教育教学质量的评价内容和方式。把教育教学评价结果作为教师年度考核、绩效考核和专业技术职务晋升的重要依据。</w:t>
      </w:r>
      <w:r>
        <w:rPr>
          <w:rFonts w:asciiTheme="minorEastAsia" w:hAnsiTheme="minorEastAsia"/>
          <w:sz w:val="28"/>
          <w:szCs w:val="28"/>
        </w:rPr>
        <w:t xml:space="preserve"> </w:t>
      </w:r>
    </w:p>
    <w:p>
      <w:pPr>
        <w:ind w:firstLine="560" w:firstLineChars="200"/>
        <w:rPr>
          <w:rFonts w:asciiTheme="minorEastAsia" w:hAnsiTheme="minorEastAsia"/>
          <w:sz w:val="28"/>
          <w:szCs w:val="28"/>
        </w:rPr>
      </w:pPr>
      <w:r>
        <w:rPr>
          <w:rFonts w:hint="eastAsia" w:asciiTheme="minorEastAsia" w:hAnsiTheme="minorEastAsia"/>
          <w:sz w:val="28"/>
          <w:szCs w:val="28"/>
        </w:rPr>
        <w:t>3.对学生的评价</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（1）评价主体</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以教师评价为主，广泛吸收就业单位、合作企业、社会、家长参与学生质量评价，建立多方共同参与评价的开放式综合评价制度。</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（2）评价方法</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（3）评价内容</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思想品德与职业素养。依据国家颁布的《中等职业学校德育大纲》，学校制定的学生日常行为规范，制定思想品德评价方案与细则；依据行业规范与岗位要求，制定职业素养评价方案与细则，把职业素养评价贯穿到教育教学全过程。</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专业知识与技能。依据课程标准，针对学校专业教学特点，制定具体的专业知识与技能评价细则。</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科学文化知识与人文素养。依据教育部颁布的课程教学大纲、省教育厅颁布的公共课教学指导方案，制定公共课教学质量评价细则。积极探索人文素质综合测试的内容和方法。</w:t>
      </w:r>
      <w:r>
        <w:rPr>
          <w:rFonts w:asciiTheme="minorEastAsia" w:hAnsiTheme="minorEastAsia"/>
          <w:sz w:val="28"/>
          <w:szCs w:val="28"/>
        </w:rPr>
        <w:t xml:space="preserve"> </w:t>
      </w:r>
    </w:p>
    <w:p>
      <w:pPr>
        <w:pStyle w:val="3"/>
        <w:spacing w:before="190" w:after="190"/>
      </w:pPr>
      <w:bookmarkStart w:id="40" w:name="_Toc81163192"/>
      <w:r>
        <w:t>（</w:t>
      </w:r>
      <w:r>
        <w:rPr>
          <w:rFonts w:hint="eastAsia"/>
        </w:rPr>
        <w:t>七</w:t>
      </w:r>
      <w:r>
        <w:t>）质量管理</w:t>
      </w:r>
      <w:bookmarkEnd w:id="40"/>
    </w:p>
    <w:bookmarkEnd w:id="29"/>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首先，建立健全校级、专业部、教研组三级质量保障体系，保障和提高教学质量。三级质量保障体系统筹考虑影响教学质量的各主要因素，结合教学诊改保证人才培养质量，协调教学质量管理的各环节，形成权责分明，相互协调、相互促进的质量管理体系。其次，建立健全教学质量保障制度保障学校教育教学的有序、有效开展，确保教育教学质量。教学质量保障制度主要包括教学运行管理制度、教师管理制度、学生管理制度等。</w:t>
      </w:r>
    </w:p>
    <w:p>
      <w:pPr>
        <w:pStyle w:val="2"/>
        <w:spacing w:before="190" w:after="190"/>
      </w:pPr>
      <w:bookmarkStart w:id="41" w:name="_Toc81163193"/>
      <w:r>
        <w:rPr>
          <w:rFonts w:hint="eastAsia"/>
        </w:rPr>
        <w:t>九、毕业要求</w:t>
      </w:r>
      <w:bookmarkEnd w:id="41"/>
    </w:p>
    <w:p>
      <w:pPr>
        <w:overflowPunct w:val="0"/>
        <w:adjustRightInd w:val="0"/>
        <w:ind w:firstLine="560" w:firstLineChars="200"/>
        <w:rPr>
          <w:rFonts w:asciiTheme="minorEastAsia" w:hAnsiTheme="minorEastAsia"/>
          <w:sz w:val="28"/>
          <w:szCs w:val="28"/>
        </w:rPr>
      </w:pPr>
      <w:r>
        <w:rPr>
          <w:rFonts w:hint="eastAsia" w:asciiTheme="minorEastAsia" w:hAnsiTheme="minorEastAsia"/>
          <w:sz w:val="28"/>
          <w:szCs w:val="28"/>
        </w:rPr>
        <w:t>本专业</w:t>
      </w:r>
      <w:r>
        <w:rPr>
          <w:rFonts w:asciiTheme="minorEastAsia" w:hAnsiTheme="minorEastAsia"/>
          <w:sz w:val="28"/>
          <w:szCs w:val="28"/>
        </w:rPr>
        <w:t>毕业</w:t>
      </w:r>
      <w:r>
        <w:rPr>
          <w:rFonts w:hint="eastAsia" w:asciiTheme="minorEastAsia" w:hAnsiTheme="minorEastAsia"/>
          <w:sz w:val="28"/>
          <w:szCs w:val="28"/>
        </w:rPr>
        <w:t>生在3</w:t>
      </w:r>
      <w:r>
        <w:rPr>
          <w:rFonts w:asciiTheme="minorEastAsia" w:hAnsiTheme="minorEastAsia"/>
          <w:sz w:val="28"/>
          <w:szCs w:val="28"/>
        </w:rPr>
        <w:t>年的学习</w:t>
      </w:r>
      <w:r>
        <w:rPr>
          <w:rFonts w:hint="eastAsia" w:asciiTheme="minorEastAsia" w:hAnsiTheme="minorEastAsia"/>
          <w:sz w:val="28"/>
          <w:szCs w:val="28"/>
        </w:rPr>
        <w:t>中</w:t>
      </w:r>
      <w:r>
        <w:rPr>
          <w:rFonts w:asciiTheme="minorEastAsia" w:hAnsiTheme="minorEastAsia"/>
          <w:sz w:val="28"/>
          <w:szCs w:val="28"/>
        </w:rPr>
        <w:t>，须修满专业人才培养方案所规定的学时学分，完成规定的教学活动，达到</w:t>
      </w:r>
      <w:r>
        <w:rPr>
          <w:rFonts w:hint="eastAsia" w:asciiTheme="minorEastAsia" w:hAnsiTheme="minorEastAsia"/>
          <w:sz w:val="28"/>
          <w:szCs w:val="28"/>
        </w:rPr>
        <w:t>相应的</w:t>
      </w:r>
      <w:r>
        <w:rPr>
          <w:rFonts w:asciiTheme="minorEastAsia" w:hAnsiTheme="minorEastAsia"/>
          <w:sz w:val="28"/>
          <w:szCs w:val="28"/>
        </w:rPr>
        <w:t>素质、知识和能力等方面</w:t>
      </w:r>
      <w:r>
        <w:rPr>
          <w:rFonts w:hint="eastAsia" w:asciiTheme="minorEastAsia" w:hAnsiTheme="minorEastAsia"/>
          <w:sz w:val="28"/>
          <w:szCs w:val="28"/>
        </w:rPr>
        <w:t>的</w:t>
      </w:r>
      <w:r>
        <w:rPr>
          <w:rFonts w:asciiTheme="minorEastAsia" w:hAnsiTheme="minorEastAsia"/>
          <w:sz w:val="28"/>
          <w:szCs w:val="28"/>
        </w:rPr>
        <w:t>要求。</w:t>
      </w:r>
      <w:r>
        <w:rPr>
          <w:rFonts w:hint="eastAsia" w:asciiTheme="minorEastAsia" w:hAnsiTheme="minorEastAsia"/>
          <w:sz w:val="28"/>
          <w:szCs w:val="28"/>
        </w:rPr>
        <w:t>具体如下：</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1.符合国家、省教育部门中等职业学校学生学籍管理有关规定。</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2.思想品德评价合格，身心健康。</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3.修完本专业人才培养方案规定的全部课程且考核成绩合格。</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4.顶岗实习考核合格。</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5.符合学校的有关毕业要求。</w:t>
      </w:r>
    </w:p>
    <w:p>
      <w:pPr>
        <w:pStyle w:val="2"/>
        <w:spacing w:before="190" w:after="190"/>
      </w:pPr>
      <w:bookmarkStart w:id="42" w:name="_Toc81163194"/>
      <w:r>
        <w:t>十、附录</w:t>
      </w:r>
      <w:bookmarkEnd w:id="42"/>
    </w:p>
    <w:p>
      <w:pPr>
        <w:ind w:firstLine="560" w:firstLineChars="200"/>
        <w:rPr>
          <w:rFonts w:asciiTheme="minorEastAsia" w:hAnsiTheme="minorEastAsia"/>
          <w:sz w:val="28"/>
          <w:szCs w:val="28"/>
        </w:rPr>
      </w:pPr>
      <w:r>
        <w:rPr>
          <w:rFonts w:hint="eastAsia" w:asciiTheme="minorEastAsia" w:hAnsiTheme="minorEastAsia"/>
          <w:sz w:val="28"/>
          <w:szCs w:val="28"/>
        </w:rPr>
        <w:t>1.教学内容补充和更新</w:t>
      </w:r>
      <w:r>
        <w:rPr>
          <w:rFonts w:asciiTheme="minorEastAsia" w:hAnsiTheme="minorEastAsia"/>
          <w:sz w:val="28"/>
          <w:szCs w:val="28"/>
        </w:rPr>
        <w:t xml:space="preserve"> </w:t>
      </w:r>
    </w:p>
    <w:p>
      <w:pPr>
        <w:autoSpaceDE w:val="0"/>
        <w:autoSpaceDN w:val="0"/>
        <w:adjustRightInd w:val="0"/>
        <w:spacing w:line="360" w:lineRule="exact"/>
        <w:ind w:firstLine="560" w:firstLineChars="200"/>
        <w:rPr>
          <w:rFonts w:asciiTheme="minorEastAsia" w:hAnsiTheme="minorEastAsia"/>
          <w:sz w:val="28"/>
          <w:szCs w:val="28"/>
        </w:rPr>
      </w:pPr>
      <w:r>
        <w:rPr>
          <w:rFonts w:hint="eastAsia" w:asciiTheme="minorEastAsia" w:hAnsiTheme="minorEastAsia"/>
          <w:sz w:val="28"/>
          <w:szCs w:val="28"/>
        </w:rPr>
        <w:t>根据目前旅游业的发展态势、就业状况及我校师资设备情况，经学校批准旅游服务与管理专业增开西点制作这一课程。故本专业人才培养方案作了及时调整、更新和补充，并在课程教学中采用新标准和新规范。</w:t>
      </w:r>
      <w:r>
        <w:rPr>
          <w:rFonts w:asciiTheme="minorEastAsia" w:hAnsiTheme="minorEastAsia"/>
          <w:sz w:val="28"/>
          <w:szCs w:val="28"/>
        </w:rPr>
        <w:t xml:space="preserve"> </w:t>
      </w:r>
    </w:p>
    <w:sectPr>
      <w:footerReference r:id="rId7" w:type="default"/>
      <w:pgSz w:w="11906" w:h="16838"/>
      <w:pgMar w:top="1021" w:right="1021" w:bottom="1021" w:left="1134" w:header="680" w:footer="992" w:gutter="567"/>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方正书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35365"/>
      <w:docPartObj>
        <w:docPartGallery w:val="AutoText"/>
      </w:docPartObj>
    </w:sdtPr>
    <w:sdtEndPr>
      <w:rPr>
        <w:rFonts w:ascii="Times New Roman" w:hAnsi="Times New Roman" w:cs="Times New Roman"/>
      </w:rPr>
    </w:sdtEndPr>
    <w:sdtContent>
      <w:p>
        <w:pPr>
          <w:pStyle w:val="2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20</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drawing>
        <wp:anchor distT="0" distB="0" distL="114300" distR="114300" simplePos="0" relativeHeight="251659264" behindDoc="0" locked="0" layoutInCell="1" allowOverlap="1">
          <wp:simplePos x="0" y="0"/>
          <wp:positionH relativeFrom="margin">
            <wp:posOffset>108585</wp:posOffset>
          </wp:positionH>
          <wp:positionV relativeFrom="margin">
            <wp:posOffset>-501015</wp:posOffset>
          </wp:positionV>
          <wp:extent cx="480060" cy="480060"/>
          <wp:effectExtent l="0" t="0" r="0" b="0"/>
          <wp:wrapSquare wrapText="bothSides"/>
          <wp:docPr id="6" name="图片 6" descr="C:\Users\hp\Desktop\QQ图片2019100916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Desktop\QQ图片2019100916134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80060" cy="480060"/>
                  </a:xfrm>
                  <a:prstGeom prst="rect">
                    <a:avLst/>
                  </a:prstGeom>
                  <a:noFill/>
                  <a:ln>
                    <a:noFill/>
                  </a:ln>
                </pic:spPr>
              </pic:pic>
            </a:graphicData>
          </a:graphic>
        </wp:anchor>
      </w:drawing>
    </w:r>
    <w:r>
      <w:t>成都市工程职业技术学校</w:t>
    </w:r>
    <w:r>
      <w:rPr>
        <w:rFonts w:hint="eastAsia"/>
      </w:rPr>
      <w:t>——旅游服务与管理专业人才培养方案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attachedTemplate r:id="rId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1D10"/>
    <w:rsid w:val="00003683"/>
    <w:rsid w:val="000217D3"/>
    <w:rsid w:val="00021B99"/>
    <w:rsid w:val="000225F0"/>
    <w:rsid w:val="00040F69"/>
    <w:rsid w:val="00064157"/>
    <w:rsid w:val="00066B3A"/>
    <w:rsid w:val="000737F6"/>
    <w:rsid w:val="000750AF"/>
    <w:rsid w:val="00083610"/>
    <w:rsid w:val="00095D5F"/>
    <w:rsid w:val="000B279B"/>
    <w:rsid w:val="000B5DBE"/>
    <w:rsid w:val="000B7CB2"/>
    <w:rsid w:val="001163FA"/>
    <w:rsid w:val="001207FC"/>
    <w:rsid w:val="00142022"/>
    <w:rsid w:val="00194676"/>
    <w:rsid w:val="001B3331"/>
    <w:rsid w:val="001C6886"/>
    <w:rsid w:val="001F0A72"/>
    <w:rsid w:val="00203144"/>
    <w:rsid w:val="002109A0"/>
    <w:rsid w:val="00211370"/>
    <w:rsid w:val="00214619"/>
    <w:rsid w:val="002510B8"/>
    <w:rsid w:val="00257493"/>
    <w:rsid w:val="0028019B"/>
    <w:rsid w:val="002A3272"/>
    <w:rsid w:val="002B05E2"/>
    <w:rsid w:val="002C46F0"/>
    <w:rsid w:val="003137E6"/>
    <w:rsid w:val="00314833"/>
    <w:rsid w:val="00320438"/>
    <w:rsid w:val="003309AF"/>
    <w:rsid w:val="00333611"/>
    <w:rsid w:val="003527BD"/>
    <w:rsid w:val="00364C93"/>
    <w:rsid w:val="003B0BB1"/>
    <w:rsid w:val="003B449E"/>
    <w:rsid w:val="003C2BCB"/>
    <w:rsid w:val="003E327F"/>
    <w:rsid w:val="003E7AB0"/>
    <w:rsid w:val="003F2437"/>
    <w:rsid w:val="00406780"/>
    <w:rsid w:val="00413966"/>
    <w:rsid w:val="004159D3"/>
    <w:rsid w:val="00426596"/>
    <w:rsid w:val="004455DD"/>
    <w:rsid w:val="00446D5D"/>
    <w:rsid w:val="00452F5C"/>
    <w:rsid w:val="00460A7F"/>
    <w:rsid w:val="00465542"/>
    <w:rsid w:val="004759B6"/>
    <w:rsid w:val="00485C80"/>
    <w:rsid w:val="00493DE2"/>
    <w:rsid w:val="0049454D"/>
    <w:rsid w:val="004B22FA"/>
    <w:rsid w:val="004B6864"/>
    <w:rsid w:val="004C187B"/>
    <w:rsid w:val="005069E0"/>
    <w:rsid w:val="0051174F"/>
    <w:rsid w:val="00513793"/>
    <w:rsid w:val="005142C5"/>
    <w:rsid w:val="00522E70"/>
    <w:rsid w:val="005315A8"/>
    <w:rsid w:val="0058311B"/>
    <w:rsid w:val="0058782D"/>
    <w:rsid w:val="005928AD"/>
    <w:rsid w:val="00596803"/>
    <w:rsid w:val="005C7FD6"/>
    <w:rsid w:val="005D5B02"/>
    <w:rsid w:val="0060255D"/>
    <w:rsid w:val="00604B10"/>
    <w:rsid w:val="00616828"/>
    <w:rsid w:val="00632B6F"/>
    <w:rsid w:val="00635E3B"/>
    <w:rsid w:val="0064411B"/>
    <w:rsid w:val="00647A33"/>
    <w:rsid w:val="00657B94"/>
    <w:rsid w:val="00664ED0"/>
    <w:rsid w:val="00670FFA"/>
    <w:rsid w:val="00671511"/>
    <w:rsid w:val="0068472A"/>
    <w:rsid w:val="006C1FDA"/>
    <w:rsid w:val="006E3010"/>
    <w:rsid w:val="006F7A34"/>
    <w:rsid w:val="0071287F"/>
    <w:rsid w:val="00713741"/>
    <w:rsid w:val="00725DDA"/>
    <w:rsid w:val="00744892"/>
    <w:rsid w:val="00745BC7"/>
    <w:rsid w:val="00796537"/>
    <w:rsid w:val="007C3C1E"/>
    <w:rsid w:val="007C4F12"/>
    <w:rsid w:val="007F0E73"/>
    <w:rsid w:val="007F743A"/>
    <w:rsid w:val="0084092B"/>
    <w:rsid w:val="00844FE3"/>
    <w:rsid w:val="00877276"/>
    <w:rsid w:val="008822CF"/>
    <w:rsid w:val="00892243"/>
    <w:rsid w:val="008A0AE0"/>
    <w:rsid w:val="008A6B7F"/>
    <w:rsid w:val="008C281D"/>
    <w:rsid w:val="00902528"/>
    <w:rsid w:val="00934689"/>
    <w:rsid w:val="0094330A"/>
    <w:rsid w:val="00956651"/>
    <w:rsid w:val="00962525"/>
    <w:rsid w:val="009841CD"/>
    <w:rsid w:val="009A0883"/>
    <w:rsid w:val="009A320C"/>
    <w:rsid w:val="009A575D"/>
    <w:rsid w:val="009B0DF0"/>
    <w:rsid w:val="009C1509"/>
    <w:rsid w:val="009E5764"/>
    <w:rsid w:val="00A359CC"/>
    <w:rsid w:val="00A45D87"/>
    <w:rsid w:val="00A52A2B"/>
    <w:rsid w:val="00A57F6A"/>
    <w:rsid w:val="00A770CA"/>
    <w:rsid w:val="00A8697F"/>
    <w:rsid w:val="00A9081D"/>
    <w:rsid w:val="00AA0DD3"/>
    <w:rsid w:val="00AB52CC"/>
    <w:rsid w:val="00AC1953"/>
    <w:rsid w:val="00AC2279"/>
    <w:rsid w:val="00AE199D"/>
    <w:rsid w:val="00B25C95"/>
    <w:rsid w:val="00B278A3"/>
    <w:rsid w:val="00B67678"/>
    <w:rsid w:val="00B71F2D"/>
    <w:rsid w:val="00B812AE"/>
    <w:rsid w:val="00B94291"/>
    <w:rsid w:val="00B96256"/>
    <w:rsid w:val="00BC137F"/>
    <w:rsid w:val="00BD7D49"/>
    <w:rsid w:val="00BE694C"/>
    <w:rsid w:val="00BF0139"/>
    <w:rsid w:val="00BF01EA"/>
    <w:rsid w:val="00C27A4D"/>
    <w:rsid w:val="00C30D4D"/>
    <w:rsid w:val="00C34877"/>
    <w:rsid w:val="00C3770F"/>
    <w:rsid w:val="00C63F54"/>
    <w:rsid w:val="00C65EBD"/>
    <w:rsid w:val="00CA57FC"/>
    <w:rsid w:val="00CF3E86"/>
    <w:rsid w:val="00D10436"/>
    <w:rsid w:val="00D27EA0"/>
    <w:rsid w:val="00D36F61"/>
    <w:rsid w:val="00D37DB7"/>
    <w:rsid w:val="00D53517"/>
    <w:rsid w:val="00D54996"/>
    <w:rsid w:val="00D77116"/>
    <w:rsid w:val="00DA08C3"/>
    <w:rsid w:val="00DA703F"/>
    <w:rsid w:val="00DB01CD"/>
    <w:rsid w:val="00DC69C4"/>
    <w:rsid w:val="00DD6AE3"/>
    <w:rsid w:val="00DE0A20"/>
    <w:rsid w:val="00DE64D6"/>
    <w:rsid w:val="00E03858"/>
    <w:rsid w:val="00E23555"/>
    <w:rsid w:val="00E23DFA"/>
    <w:rsid w:val="00E27593"/>
    <w:rsid w:val="00E30923"/>
    <w:rsid w:val="00E53849"/>
    <w:rsid w:val="00E61C79"/>
    <w:rsid w:val="00E812C2"/>
    <w:rsid w:val="00E92852"/>
    <w:rsid w:val="00EA1A1F"/>
    <w:rsid w:val="00EB2C96"/>
    <w:rsid w:val="00EC1930"/>
    <w:rsid w:val="00EC4F01"/>
    <w:rsid w:val="00ED29E2"/>
    <w:rsid w:val="00EE731B"/>
    <w:rsid w:val="00EE734D"/>
    <w:rsid w:val="00EF55C6"/>
    <w:rsid w:val="00EF5658"/>
    <w:rsid w:val="00F05236"/>
    <w:rsid w:val="00F05F87"/>
    <w:rsid w:val="00F074A5"/>
    <w:rsid w:val="00F60A20"/>
    <w:rsid w:val="00F63C90"/>
    <w:rsid w:val="00F95CA4"/>
    <w:rsid w:val="00FB418D"/>
    <w:rsid w:val="00FC1E62"/>
    <w:rsid w:val="00FC3895"/>
    <w:rsid w:val="00FC79F4"/>
    <w:rsid w:val="00FE1D10"/>
    <w:rsid w:val="0DC1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99"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9"/>
    <w:pPr>
      <w:keepNext/>
      <w:keepLines/>
      <w:widowControl/>
      <w:spacing w:beforeLines="50" w:afterLines="50" w:line="500" w:lineRule="exact"/>
      <w:jc w:val="left"/>
      <w:outlineLvl w:val="0"/>
    </w:pPr>
    <w:rPr>
      <w:rFonts w:ascii="黑体" w:hAnsi="黑体" w:eastAsia="黑体"/>
      <w:b/>
      <w:bCs/>
      <w:color w:val="000000"/>
      <w:kern w:val="44"/>
      <w:sz w:val="32"/>
      <w:szCs w:val="44"/>
    </w:rPr>
  </w:style>
  <w:style w:type="paragraph" w:styleId="3">
    <w:name w:val="heading 2"/>
    <w:basedOn w:val="1"/>
    <w:next w:val="1"/>
    <w:link w:val="46"/>
    <w:unhideWhenUsed/>
    <w:qFormat/>
    <w:uiPriority w:val="9"/>
    <w:pPr>
      <w:keepNext/>
      <w:keepLines/>
      <w:widowControl/>
      <w:spacing w:beforeLines="50" w:afterLines="50" w:line="500" w:lineRule="exact"/>
      <w:jc w:val="left"/>
      <w:outlineLvl w:val="1"/>
    </w:pPr>
    <w:rPr>
      <w:rFonts w:ascii="黑体" w:hAnsi="黑体" w:eastAsia="黑体" w:cstheme="majorBidi"/>
      <w:b/>
      <w:bCs/>
      <w:sz w:val="30"/>
      <w:szCs w:val="32"/>
    </w:rPr>
  </w:style>
  <w:style w:type="paragraph" w:styleId="4">
    <w:name w:val="heading 3"/>
    <w:basedOn w:val="1"/>
    <w:next w:val="1"/>
    <w:link w:val="50"/>
    <w:unhideWhenUsed/>
    <w:qFormat/>
    <w:uiPriority w:val="9"/>
    <w:pPr>
      <w:keepNext/>
      <w:keepLines/>
      <w:widowControl/>
      <w:spacing w:beforeLines="50" w:afterLines="50" w:line="500" w:lineRule="exact"/>
      <w:jc w:val="left"/>
      <w:outlineLvl w:val="2"/>
    </w:pPr>
    <w:rPr>
      <w:rFonts w:eastAsia="黑体" w:asciiTheme="minorEastAsia" w:hAnsiTheme="minorEastAsia"/>
      <w:b/>
      <w:bCs/>
      <w:sz w:val="28"/>
      <w:szCs w:val="28"/>
    </w:rPr>
  </w:style>
  <w:style w:type="paragraph" w:styleId="5">
    <w:name w:val="heading 4"/>
    <w:basedOn w:val="1"/>
    <w:next w:val="1"/>
    <w:link w:val="51"/>
    <w:unhideWhenUsed/>
    <w:qFormat/>
    <w:uiPriority w:val="9"/>
    <w:pPr>
      <w:keepNext/>
      <w:keepLines/>
      <w:widowControl/>
      <w:spacing w:beforeLines="50" w:afterLines="50" w:line="400" w:lineRule="exact"/>
      <w:jc w:val="left"/>
      <w:outlineLvl w:val="3"/>
    </w:pPr>
    <w:rPr>
      <w:rFonts w:ascii="仿宋_GB2312" w:hAnsi="仿宋" w:eastAsia="仿宋_GB2312" w:cstheme="majorBidi"/>
      <w:b/>
      <w:bCs/>
      <w:sz w:val="28"/>
      <w:szCs w:val="28"/>
    </w:rPr>
  </w:style>
  <w:style w:type="paragraph" w:styleId="6">
    <w:name w:val="heading 5"/>
    <w:basedOn w:val="1"/>
    <w:next w:val="1"/>
    <w:link w:val="52"/>
    <w:unhideWhenUsed/>
    <w:qFormat/>
    <w:uiPriority w:val="9"/>
    <w:pPr>
      <w:keepNext/>
      <w:keepLines/>
      <w:widowControl/>
      <w:spacing w:before="280" w:after="290" w:line="360" w:lineRule="exact"/>
      <w:jc w:val="left"/>
      <w:outlineLvl w:val="4"/>
    </w:pPr>
    <w:rPr>
      <w:rFonts w:ascii="仿宋" w:hAnsi="仿宋" w:eastAsia="黑体"/>
      <w:b/>
      <w:bCs/>
      <w:sz w:val="28"/>
      <w:szCs w:val="28"/>
    </w:rPr>
  </w:style>
  <w:style w:type="paragraph" w:styleId="7">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54"/>
    <w:qFormat/>
    <w:uiPriority w:val="9"/>
    <w:pPr>
      <w:widowControl/>
      <w:spacing w:before="100" w:beforeAutospacing="1" w:after="100" w:afterAutospacing="1"/>
      <w:jc w:val="left"/>
      <w:outlineLvl w:val="6"/>
    </w:pPr>
    <w:rPr>
      <w:rFonts w:ascii="宋体" w:hAnsi="宋体" w:eastAsia="宋体" w:cs="Times New Roman"/>
      <w:kern w:val="0"/>
      <w:sz w:val="24"/>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uiPriority w:val="39"/>
    <w:pPr>
      <w:ind w:left="1260"/>
      <w:jc w:val="left"/>
    </w:pPr>
    <w:rPr>
      <w:rFonts w:cstheme="minorHAnsi"/>
      <w:sz w:val="18"/>
      <w:szCs w:val="18"/>
    </w:rPr>
  </w:style>
  <w:style w:type="paragraph" w:styleId="10">
    <w:name w:val="Normal Indent"/>
    <w:basedOn w:val="1"/>
    <w:unhideWhenUsed/>
    <w:uiPriority w:val="99"/>
    <w:pPr>
      <w:overflowPunct w:val="0"/>
      <w:autoSpaceDE w:val="0"/>
      <w:autoSpaceDN w:val="0"/>
      <w:adjustRightInd w:val="0"/>
      <w:spacing w:line="307" w:lineRule="auto"/>
      <w:ind w:firstLine="420"/>
      <w:textAlignment w:val="baseline"/>
    </w:pPr>
    <w:rPr>
      <w:rFonts w:ascii="楷体_GB2312" w:hAnsi="Calibri" w:eastAsia="楷体_GB2312" w:cs="Times New Roman"/>
      <w:kern w:val="0"/>
      <w:sz w:val="28"/>
      <w:szCs w:val="20"/>
    </w:rPr>
  </w:style>
  <w:style w:type="paragraph" w:styleId="11">
    <w:name w:val="Document Map"/>
    <w:basedOn w:val="1"/>
    <w:link w:val="136"/>
    <w:uiPriority w:val="0"/>
    <w:rPr>
      <w:rFonts w:ascii="宋体" w:hAnsi="Times New Roman" w:eastAsia="宋体"/>
      <w:sz w:val="18"/>
      <w:szCs w:val="18"/>
    </w:rPr>
  </w:style>
  <w:style w:type="paragraph" w:styleId="12">
    <w:name w:val="annotation text"/>
    <w:basedOn w:val="1"/>
    <w:link w:val="94"/>
    <w:unhideWhenUsed/>
    <w:uiPriority w:val="99"/>
    <w:pPr>
      <w:jc w:val="left"/>
    </w:pPr>
  </w:style>
  <w:style w:type="paragraph" w:styleId="13">
    <w:name w:val="Body Text"/>
    <w:basedOn w:val="1"/>
    <w:link w:val="123"/>
    <w:unhideWhenUsed/>
    <w:uiPriority w:val="99"/>
    <w:pPr>
      <w:spacing w:after="120" w:line="360" w:lineRule="auto"/>
    </w:pPr>
    <w:rPr>
      <w:rFonts w:ascii="Calibri" w:hAnsi="Calibri" w:eastAsia="宋体"/>
    </w:rPr>
  </w:style>
  <w:style w:type="paragraph" w:styleId="14">
    <w:name w:val="Body Text Indent"/>
    <w:basedOn w:val="1"/>
    <w:link w:val="114"/>
    <w:uiPriority w:val="0"/>
    <w:pPr>
      <w:spacing w:after="120"/>
      <w:ind w:left="420" w:leftChars="200"/>
    </w:pPr>
    <w:rPr>
      <w:rFonts w:ascii="Times New Roman" w:hAnsi="Times New Roman" w:eastAsia="宋体"/>
      <w:szCs w:val="24"/>
    </w:rPr>
  </w:style>
  <w:style w:type="paragraph" w:styleId="15">
    <w:name w:val="Block Text"/>
    <w:basedOn w:val="1"/>
    <w:uiPriority w:val="0"/>
    <w:pPr>
      <w:ind w:left="525" w:right="-1779" w:rightChars="-847" w:firstLine="420" w:firstLineChars="175"/>
    </w:pPr>
    <w:rPr>
      <w:rFonts w:ascii="Times New Roman" w:hAnsi="Times New Roman" w:eastAsia="宋体" w:cs="Times New Roman"/>
      <w:sz w:val="24"/>
      <w:szCs w:val="20"/>
    </w:rPr>
  </w:style>
  <w:style w:type="paragraph" w:styleId="16">
    <w:name w:val="toc 5"/>
    <w:basedOn w:val="1"/>
    <w:next w:val="1"/>
    <w:unhideWhenUsed/>
    <w:qFormat/>
    <w:uiPriority w:val="39"/>
    <w:pPr>
      <w:ind w:left="840"/>
      <w:jc w:val="left"/>
    </w:pPr>
    <w:rPr>
      <w:rFonts w:cstheme="minorHAnsi"/>
      <w:sz w:val="18"/>
      <w:szCs w:val="18"/>
    </w:rPr>
  </w:style>
  <w:style w:type="paragraph" w:styleId="17">
    <w:name w:val="toc 3"/>
    <w:basedOn w:val="1"/>
    <w:next w:val="1"/>
    <w:unhideWhenUsed/>
    <w:qFormat/>
    <w:uiPriority w:val="39"/>
    <w:pPr>
      <w:ind w:left="420"/>
      <w:jc w:val="left"/>
    </w:pPr>
    <w:rPr>
      <w:rFonts w:cstheme="minorHAnsi"/>
      <w:i/>
      <w:iCs/>
      <w:sz w:val="20"/>
      <w:szCs w:val="20"/>
    </w:rPr>
  </w:style>
  <w:style w:type="paragraph" w:styleId="18">
    <w:name w:val="Plain Text"/>
    <w:basedOn w:val="1"/>
    <w:link w:val="122"/>
    <w:unhideWhenUsed/>
    <w:uiPriority w:val="0"/>
    <w:rPr>
      <w:rFonts w:ascii="宋体" w:hAnsi="Courier New" w:eastAsia="宋体" w:cs="Courier New"/>
      <w:szCs w:val="21"/>
    </w:rPr>
  </w:style>
  <w:style w:type="paragraph" w:styleId="19">
    <w:name w:val="toc 8"/>
    <w:basedOn w:val="1"/>
    <w:next w:val="1"/>
    <w:unhideWhenUsed/>
    <w:uiPriority w:val="39"/>
    <w:pPr>
      <w:ind w:left="1470"/>
      <w:jc w:val="left"/>
    </w:pPr>
    <w:rPr>
      <w:rFonts w:cstheme="minorHAnsi"/>
      <w:sz w:val="18"/>
      <w:szCs w:val="18"/>
    </w:rPr>
  </w:style>
  <w:style w:type="paragraph" w:styleId="20">
    <w:name w:val="Date"/>
    <w:basedOn w:val="1"/>
    <w:next w:val="1"/>
    <w:link w:val="113"/>
    <w:uiPriority w:val="0"/>
    <w:pPr>
      <w:ind w:left="100" w:leftChars="2500"/>
    </w:pPr>
    <w:rPr>
      <w:rFonts w:ascii="Times New Roman" w:hAnsi="Times New Roman" w:eastAsia="宋体"/>
      <w:szCs w:val="24"/>
    </w:rPr>
  </w:style>
  <w:style w:type="paragraph" w:styleId="21">
    <w:name w:val="Body Text Indent 2"/>
    <w:basedOn w:val="1"/>
    <w:link w:val="106"/>
    <w:uiPriority w:val="0"/>
    <w:pPr>
      <w:spacing w:after="120" w:line="480" w:lineRule="auto"/>
      <w:ind w:left="420" w:leftChars="200"/>
    </w:pPr>
    <w:rPr>
      <w:rFonts w:ascii="Times New Roman" w:hAnsi="Times New Roman" w:eastAsia="宋体"/>
      <w:szCs w:val="24"/>
    </w:rPr>
  </w:style>
  <w:style w:type="paragraph" w:styleId="22">
    <w:name w:val="Balloon Text"/>
    <w:basedOn w:val="1"/>
    <w:link w:val="57"/>
    <w:unhideWhenUsed/>
    <w:qFormat/>
    <w:uiPriority w:val="99"/>
    <w:pPr>
      <w:widowControl/>
      <w:ind w:firstLine="561"/>
      <w:jc w:val="left"/>
    </w:pPr>
    <w:rPr>
      <w:rFonts w:ascii="仿宋" w:hAnsi="仿宋" w:eastAsia="仿宋_GB2312"/>
      <w:sz w:val="18"/>
      <w:szCs w:val="18"/>
    </w:rPr>
  </w:style>
  <w:style w:type="paragraph" w:styleId="23">
    <w:name w:val="footer"/>
    <w:basedOn w:val="1"/>
    <w:link w:val="55"/>
    <w:qFormat/>
    <w:uiPriority w:val="99"/>
    <w:pPr>
      <w:widowControl/>
      <w:spacing w:line="360" w:lineRule="exact"/>
      <w:jc w:val="center"/>
    </w:pPr>
    <w:rPr>
      <w:rFonts w:ascii="仿宋" w:hAnsi="仿宋" w:eastAsia="仿宋_GB2312"/>
      <w:sz w:val="18"/>
      <w:szCs w:val="28"/>
    </w:rPr>
  </w:style>
  <w:style w:type="paragraph" w:styleId="24">
    <w:name w:val="header"/>
    <w:basedOn w:val="23"/>
    <w:link w:val="56"/>
    <w:qFormat/>
    <w:uiPriority w:val="99"/>
    <w:pPr>
      <w:pBdr>
        <w:bottom w:val="single" w:color="auto" w:sz="4" w:space="1"/>
      </w:pBdr>
      <w:jc w:val="right"/>
    </w:pPr>
  </w:style>
  <w:style w:type="paragraph" w:styleId="25">
    <w:name w:val="toc 1"/>
    <w:basedOn w:val="1"/>
    <w:next w:val="1"/>
    <w:unhideWhenUsed/>
    <w:qFormat/>
    <w:uiPriority w:val="39"/>
    <w:pPr>
      <w:tabs>
        <w:tab w:val="right" w:leader="dot" w:pos="9174"/>
      </w:tabs>
      <w:adjustRightInd w:val="0"/>
      <w:snapToGrid w:val="0"/>
      <w:spacing w:beforeLines="50" w:afterLines="50" w:line="500" w:lineRule="exact"/>
      <w:jc w:val="left"/>
    </w:pPr>
    <w:rPr>
      <w:rFonts w:ascii="黑体" w:hAnsi="黑体" w:eastAsia="黑体" w:cstheme="minorHAnsi"/>
      <w:b/>
      <w:bCs/>
      <w:caps/>
      <w:kern w:val="44"/>
      <w:sz w:val="32"/>
      <w:szCs w:val="32"/>
    </w:rPr>
  </w:style>
  <w:style w:type="paragraph" w:styleId="26">
    <w:name w:val="toc 4"/>
    <w:basedOn w:val="1"/>
    <w:next w:val="1"/>
    <w:unhideWhenUsed/>
    <w:qFormat/>
    <w:uiPriority w:val="39"/>
    <w:pPr>
      <w:ind w:left="630"/>
      <w:jc w:val="left"/>
    </w:pPr>
    <w:rPr>
      <w:rFonts w:cstheme="minorHAnsi"/>
      <w:sz w:val="18"/>
      <w:szCs w:val="18"/>
    </w:rPr>
  </w:style>
  <w:style w:type="paragraph" w:styleId="27">
    <w:name w:val="Subtitle"/>
    <w:basedOn w:val="1"/>
    <w:next w:val="1"/>
    <w:link w:val="129"/>
    <w:qFormat/>
    <w:uiPriority w:val="0"/>
    <w:pPr>
      <w:spacing w:before="240" w:after="60" w:line="312" w:lineRule="auto"/>
      <w:jc w:val="center"/>
      <w:outlineLvl w:val="1"/>
    </w:pPr>
    <w:rPr>
      <w:rFonts w:ascii="Cambria" w:hAnsi="Cambria" w:eastAsia="宋体"/>
      <w:b/>
      <w:bCs/>
      <w:kern w:val="28"/>
      <w:sz w:val="32"/>
      <w:szCs w:val="32"/>
    </w:rPr>
  </w:style>
  <w:style w:type="paragraph" w:styleId="28">
    <w:name w:val="toc 6"/>
    <w:basedOn w:val="1"/>
    <w:next w:val="1"/>
    <w:unhideWhenUsed/>
    <w:qFormat/>
    <w:uiPriority w:val="39"/>
    <w:pPr>
      <w:ind w:left="1050"/>
      <w:jc w:val="left"/>
    </w:pPr>
    <w:rPr>
      <w:rFonts w:cstheme="minorHAnsi"/>
      <w:sz w:val="18"/>
      <w:szCs w:val="18"/>
    </w:rPr>
  </w:style>
  <w:style w:type="paragraph" w:styleId="29">
    <w:name w:val="Body Text Indent 3"/>
    <w:basedOn w:val="1"/>
    <w:link w:val="105"/>
    <w:uiPriority w:val="0"/>
    <w:pPr>
      <w:spacing w:after="120"/>
      <w:ind w:left="420" w:leftChars="200"/>
    </w:pPr>
    <w:rPr>
      <w:rFonts w:ascii="Times New Roman" w:hAnsi="Times New Roman" w:eastAsia="宋体"/>
      <w:sz w:val="16"/>
      <w:szCs w:val="16"/>
    </w:rPr>
  </w:style>
  <w:style w:type="paragraph" w:styleId="30">
    <w:name w:val="toc 2"/>
    <w:basedOn w:val="1"/>
    <w:next w:val="1"/>
    <w:unhideWhenUsed/>
    <w:qFormat/>
    <w:uiPriority w:val="39"/>
    <w:pPr>
      <w:ind w:left="210"/>
      <w:jc w:val="left"/>
    </w:pPr>
    <w:rPr>
      <w:rFonts w:cstheme="minorHAnsi"/>
      <w:smallCaps/>
      <w:sz w:val="20"/>
      <w:szCs w:val="20"/>
    </w:rPr>
  </w:style>
  <w:style w:type="paragraph" w:styleId="31">
    <w:name w:val="toc 9"/>
    <w:basedOn w:val="1"/>
    <w:next w:val="1"/>
    <w:unhideWhenUsed/>
    <w:uiPriority w:val="39"/>
    <w:pPr>
      <w:ind w:left="1680"/>
      <w:jc w:val="left"/>
    </w:pPr>
    <w:rPr>
      <w:rFonts w:cstheme="minorHAnsi"/>
      <w:sz w:val="18"/>
      <w:szCs w:val="18"/>
    </w:rPr>
  </w:style>
  <w:style w:type="paragraph" w:styleId="32">
    <w:name w:val="Body Text 2"/>
    <w:basedOn w:val="1"/>
    <w:link w:val="126"/>
    <w:uiPriority w:val="0"/>
    <w:pPr>
      <w:spacing w:line="220" w:lineRule="exact"/>
      <w:jc w:val="center"/>
    </w:pPr>
    <w:rPr>
      <w:rFonts w:ascii="Times New Roman" w:hAnsi="Times New Roman" w:eastAsia="宋体"/>
      <w:sz w:val="18"/>
      <w:szCs w:val="24"/>
    </w:rPr>
  </w:style>
  <w:style w:type="paragraph" w:styleId="33">
    <w:name w:val="HTML Preformatted"/>
    <w:basedOn w:val="1"/>
    <w:link w:val="11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imes New Roman"/>
      <w:sz w:val="24"/>
      <w:szCs w:val="24"/>
    </w:rPr>
  </w:style>
  <w:style w:type="paragraph" w:styleId="34">
    <w:name w:val="Normal (Web)"/>
    <w:basedOn w:val="1"/>
    <w:uiPriority w:val="99"/>
    <w:pPr>
      <w:widowControl/>
      <w:spacing w:before="100" w:beforeAutospacing="1" w:after="100" w:afterAutospacing="1" w:line="360" w:lineRule="auto"/>
      <w:jc w:val="left"/>
    </w:pPr>
    <w:rPr>
      <w:rFonts w:ascii="宋体" w:hAnsi="宋体" w:eastAsia="宋体" w:cs="宋体"/>
      <w:kern w:val="0"/>
      <w:sz w:val="24"/>
      <w:szCs w:val="24"/>
    </w:rPr>
  </w:style>
  <w:style w:type="paragraph" w:styleId="35">
    <w:name w:val="Title"/>
    <w:basedOn w:val="1"/>
    <w:next w:val="1"/>
    <w:link w:val="58"/>
    <w:qFormat/>
    <w:uiPriority w:val="10"/>
    <w:pPr>
      <w:widowControl/>
      <w:spacing w:before="240" w:after="60" w:line="360" w:lineRule="exact"/>
      <w:ind w:firstLine="561"/>
      <w:jc w:val="center"/>
      <w:outlineLvl w:val="0"/>
    </w:pPr>
    <w:rPr>
      <w:rFonts w:eastAsia="宋体" w:asciiTheme="majorHAnsi" w:hAnsiTheme="majorHAnsi" w:cstheme="majorBidi"/>
      <w:b/>
      <w:bCs/>
      <w:sz w:val="32"/>
      <w:szCs w:val="32"/>
    </w:rPr>
  </w:style>
  <w:style w:type="paragraph" w:styleId="36">
    <w:name w:val="annotation subject"/>
    <w:basedOn w:val="12"/>
    <w:next w:val="12"/>
    <w:link w:val="103"/>
    <w:unhideWhenUsed/>
    <w:uiPriority w:val="99"/>
    <w:rPr>
      <w:rFonts w:ascii="Calibri" w:hAnsi="Calibri" w:eastAsia="宋体"/>
      <w:b/>
      <w:bCs/>
    </w:rPr>
  </w:style>
  <w:style w:type="table" w:styleId="38">
    <w:name w:val="Table Grid"/>
    <w:basedOn w:val="37"/>
    <w:unhideWhenUsed/>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uiPriority w:val="0"/>
  </w:style>
  <w:style w:type="character" w:styleId="42">
    <w:name w:val="Emphasis"/>
    <w:qFormat/>
    <w:uiPriority w:val="0"/>
    <w:rPr>
      <w:color w:val="CC0000"/>
    </w:rPr>
  </w:style>
  <w:style w:type="character" w:styleId="43">
    <w:name w:val="Hyperlink"/>
    <w:basedOn w:val="39"/>
    <w:unhideWhenUsed/>
    <w:qFormat/>
    <w:uiPriority w:val="99"/>
    <w:rPr>
      <w:color w:val="0000FF" w:themeColor="hyperlink"/>
      <w:u w:val="single"/>
    </w:rPr>
  </w:style>
  <w:style w:type="character" w:styleId="44">
    <w:name w:val="annotation reference"/>
    <w:unhideWhenUsed/>
    <w:uiPriority w:val="99"/>
    <w:rPr>
      <w:sz w:val="21"/>
      <w:szCs w:val="21"/>
    </w:rPr>
  </w:style>
  <w:style w:type="character" w:customStyle="1" w:styleId="45">
    <w:name w:val="标题 1 Char"/>
    <w:basedOn w:val="39"/>
    <w:link w:val="2"/>
    <w:qFormat/>
    <w:uiPriority w:val="9"/>
    <w:rPr>
      <w:rFonts w:ascii="黑体" w:hAnsi="黑体" w:eastAsia="黑体"/>
      <w:b/>
      <w:bCs/>
      <w:color w:val="000000"/>
      <w:kern w:val="44"/>
      <w:sz w:val="32"/>
      <w:szCs w:val="44"/>
    </w:rPr>
  </w:style>
  <w:style w:type="character" w:customStyle="1" w:styleId="46">
    <w:name w:val="标题 2 Char"/>
    <w:basedOn w:val="39"/>
    <w:link w:val="3"/>
    <w:qFormat/>
    <w:uiPriority w:val="9"/>
    <w:rPr>
      <w:rFonts w:ascii="黑体" w:hAnsi="黑体" w:eastAsia="黑体" w:cstheme="majorBidi"/>
      <w:b/>
      <w:bCs/>
      <w:sz w:val="30"/>
      <w:szCs w:val="32"/>
    </w:rPr>
  </w:style>
  <w:style w:type="paragraph" w:customStyle="1" w:styleId="47">
    <w:name w:val="图片"/>
    <w:basedOn w:val="48"/>
    <w:next w:val="1"/>
    <w:link w:val="72"/>
    <w:qFormat/>
    <w:uiPriority w:val="0"/>
    <w:pPr>
      <w:spacing w:line="240" w:lineRule="auto"/>
      <w:ind w:firstLine="0" w:firstLineChars="0"/>
      <w:jc w:val="center"/>
    </w:pPr>
  </w:style>
  <w:style w:type="paragraph" w:customStyle="1" w:styleId="48">
    <w:name w:val="正文2"/>
    <w:basedOn w:val="1"/>
    <w:link w:val="68"/>
    <w:qFormat/>
    <w:uiPriority w:val="0"/>
    <w:pPr>
      <w:spacing w:line="400" w:lineRule="exact"/>
      <w:ind w:firstLine="560" w:firstLineChars="200"/>
    </w:pPr>
    <w:rPr>
      <w:rFonts w:ascii="仿宋_GB2312" w:eastAsia="仿宋_GB2312"/>
      <w:sz w:val="28"/>
      <w:szCs w:val="28"/>
    </w:rPr>
  </w:style>
  <w:style w:type="paragraph" w:customStyle="1" w:styleId="49">
    <w:name w:val="样式1"/>
    <w:basedOn w:val="1"/>
    <w:next w:val="1"/>
    <w:uiPriority w:val="0"/>
    <w:rPr>
      <w:rFonts w:ascii="Times New Roman" w:hAnsi="Times New Roman" w:eastAsia="宋体" w:cs="Times New Roman"/>
      <w:szCs w:val="24"/>
    </w:rPr>
  </w:style>
  <w:style w:type="character" w:customStyle="1" w:styleId="50">
    <w:name w:val="标题 3 Char"/>
    <w:basedOn w:val="39"/>
    <w:link w:val="4"/>
    <w:qFormat/>
    <w:uiPriority w:val="9"/>
    <w:rPr>
      <w:rFonts w:eastAsia="黑体" w:asciiTheme="minorEastAsia" w:hAnsiTheme="minorEastAsia"/>
      <w:b/>
      <w:bCs/>
    </w:rPr>
  </w:style>
  <w:style w:type="character" w:customStyle="1" w:styleId="51">
    <w:name w:val="标题 4 Char"/>
    <w:basedOn w:val="39"/>
    <w:link w:val="5"/>
    <w:qFormat/>
    <w:uiPriority w:val="9"/>
    <w:rPr>
      <w:rFonts w:ascii="仿宋_GB2312" w:cstheme="majorBidi"/>
      <w:b/>
      <w:bCs/>
    </w:rPr>
  </w:style>
  <w:style w:type="character" w:customStyle="1" w:styleId="52">
    <w:name w:val="标题 5 Char"/>
    <w:basedOn w:val="39"/>
    <w:link w:val="6"/>
    <w:semiHidden/>
    <w:qFormat/>
    <w:uiPriority w:val="9"/>
    <w:rPr>
      <w:rFonts w:eastAsia="黑体"/>
      <w:b/>
      <w:bCs/>
    </w:rPr>
  </w:style>
  <w:style w:type="character" w:customStyle="1" w:styleId="53">
    <w:name w:val="标题 6 Char"/>
    <w:basedOn w:val="39"/>
    <w:link w:val="7"/>
    <w:qFormat/>
    <w:uiPriority w:val="9"/>
    <w:rPr>
      <w:rFonts w:ascii="Cambria" w:hAnsi="Cambria" w:eastAsia="宋体" w:cs="Times New Roman"/>
      <w:b/>
      <w:bCs/>
      <w:sz w:val="24"/>
      <w:szCs w:val="24"/>
    </w:rPr>
  </w:style>
  <w:style w:type="character" w:customStyle="1" w:styleId="54">
    <w:name w:val="标题 7 Char"/>
    <w:basedOn w:val="39"/>
    <w:link w:val="8"/>
    <w:qFormat/>
    <w:uiPriority w:val="9"/>
    <w:rPr>
      <w:rFonts w:ascii="宋体" w:hAnsi="宋体" w:eastAsia="宋体" w:cs="Times New Roman"/>
      <w:kern w:val="0"/>
      <w:sz w:val="24"/>
      <w:szCs w:val="24"/>
    </w:rPr>
  </w:style>
  <w:style w:type="character" w:customStyle="1" w:styleId="55">
    <w:name w:val="页脚 Char"/>
    <w:basedOn w:val="39"/>
    <w:link w:val="23"/>
    <w:qFormat/>
    <w:uiPriority w:val="99"/>
    <w:rPr>
      <w:sz w:val="18"/>
    </w:rPr>
  </w:style>
  <w:style w:type="character" w:customStyle="1" w:styleId="56">
    <w:name w:val="页眉 Char"/>
    <w:basedOn w:val="39"/>
    <w:link w:val="24"/>
    <w:qFormat/>
    <w:uiPriority w:val="99"/>
    <w:rPr>
      <w:rFonts w:eastAsia="仿宋_GB2312"/>
      <w:sz w:val="18"/>
    </w:rPr>
  </w:style>
  <w:style w:type="character" w:customStyle="1" w:styleId="57">
    <w:name w:val="批注框文本 Char"/>
    <w:basedOn w:val="39"/>
    <w:link w:val="22"/>
    <w:semiHidden/>
    <w:qFormat/>
    <w:uiPriority w:val="99"/>
    <w:rPr>
      <w:rFonts w:eastAsia="仿宋_GB2312"/>
      <w:sz w:val="18"/>
      <w:szCs w:val="18"/>
    </w:rPr>
  </w:style>
  <w:style w:type="character" w:customStyle="1" w:styleId="58">
    <w:name w:val="标题 Char"/>
    <w:basedOn w:val="39"/>
    <w:link w:val="35"/>
    <w:qFormat/>
    <w:uiPriority w:val="10"/>
    <w:rPr>
      <w:rFonts w:eastAsia="宋体" w:asciiTheme="majorHAnsi" w:hAnsiTheme="majorHAnsi" w:cstheme="majorBidi"/>
      <w:b/>
      <w:bCs/>
      <w:sz w:val="32"/>
      <w:szCs w:val="32"/>
    </w:rPr>
  </w:style>
  <w:style w:type="paragraph" w:customStyle="1" w:styleId="59">
    <w:name w:val="目录"/>
    <w:basedOn w:val="1"/>
    <w:link w:val="60"/>
    <w:qFormat/>
    <w:uiPriority w:val="0"/>
    <w:pPr>
      <w:ind w:firstLine="480" w:firstLineChars="200"/>
    </w:pPr>
    <w:rPr>
      <w:rFonts w:asciiTheme="minorEastAsia" w:hAnsiTheme="minorEastAsia"/>
      <w:sz w:val="24"/>
      <w:szCs w:val="24"/>
    </w:rPr>
  </w:style>
  <w:style w:type="character" w:customStyle="1" w:styleId="60">
    <w:name w:val="目录 Char"/>
    <w:basedOn w:val="39"/>
    <w:link w:val="59"/>
    <w:qFormat/>
    <w:uiPriority w:val="0"/>
    <w:rPr>
      <w:rFonts w:asciiTheme="minorEastAsia" w:hAnsiTheme="minorEastAsia" w:eastAsiaTheme="minorEastAsia"/>
      <w:sz w:val="24"/>
      <w:szCs w:val="24"/>
    </w:rPr>
  </w:style>
  <w:style w:type="paragraph" w:customStyle="1" w:styleId="61">
    <w:name w:val="封面署名"/>
    <w:basedOn w:val="1"/>
    <w:link w:val="62"/>
    <w:qFormat/>
    <w:uiPriority w:val="0"/>
    <w:pPr>
      <w:spacing w:line="360" w:lineRule="exact"/>
    </w:pPr>
    <w:rPr>
      <w:rFonts w:ascii="黑体" w:hAnsi="黑体" w:eastAsia="黑体"/>
      <w:sz w:val="32"/>
      <w:szCs w:val="32"/>
    </w:rPr>
  </w:style>
  <w:style w:type="character" w:customStyle="1" w:styleId="62">
    <w:name w:val="封面署名 Char"/>
    <w:basedOn w:val="39"/>
    <w:link w:val="61"/>
    <w:qFormat/>
    <w:uiPriority w:val="0"/>
    <w:rPr>
      <w:rFonts w:ascii="黑体" w:hAnsi="黑体" w:eastAsia="黑体"/>
      <w:sz w:val="32"/>
      <w:szCs w:val="32"/>
    </w:rPr>
  </w:style>
  <w:style w:type="paragraph" w:customStyle="1" w:styleId="63">
    <w:name w:val="封面标题"/>
    <w:basedOn w:val="1"/>
    <w:link w:val="64"/>
    <w:qFormat/>
    <w:uiPriority w:val="0"/>
    <w:pPr>
      <w:spacing w:line="360" w:lineRule="auto"/>
    </w:pPr>
    <w:rPr>
      <w:rFonts w:ascii="黑体" w:hAnsi="黑体" w:eastAsia="黑体"/>
      <w:sz w:val="44"/>
      <w:szCs w:val="44"/>
    </w:rPr>
  </w:style>
  <w:style w:type="character" w:customStyle="1" w:styleId="64">
    <w:name w:val="封面标题 Char"/>
    <w:basedOn w:val="39"/>
    <w:link w:val="63"/>
    <w:qFormat/>
    <w:uiPriority w:val="0"/>
    <w:rPr>
      <w:rFonts w:ascii="黑体" w:hAnsi="黑体" w:eastAsia="黑体"/>
      <w:sz w:val="44"/>
      <w:szCs w:val="44"/>
    </w:rPr>
  </w:style>
  <w:style w:type="paragraph" w:customStyle="1" w:styleId="65">
    <w:name w:val="正文标题"/>
    <w:basedOn w:val="1"/>
    <w:link w:val="66"/>
    <w:qFormat/>
    <w:uiPriority w:val="0"/>
    <w:pPr>
      <w:spacing w:beforeLines="50" w:afterLines="50" w:line="500" w:lineRule="exact"/>
      <w:jc w:val="center"/>
    </w:pPr>
    <w:rPr>
      <w:rFonts w:ascii="黑体" w:hAnsi="黑体" w:eastAsia="黑体"/>
      <w:b/>
      <w:sz w:val="36"/>
      <w:szCs w:val="36"/>
    </w:rPr>
  </w:style>
  <w:style w:type="character" w:customStyle="1" w:styleId="66">
    <w:name w:val="正文标题 Char"/>
    <w:basedOn w:val="39"/>
    <w:link w:val="65"/>
    <w:qFormat/>
    <w:uiPriority w:val="0"/>
    <w:rPr>
      <w:rFonts w:ascii="黑体" w:hAnsi="黑体" w:eastAsia="黑体"/>
      <w:b/>
      <w:sz w:val="36"/>
      <w:szCs w:val="36"/>
    </w:rPr>
  </w:style>
  <w:style w:type="character" w:customStyle="1" w:styleId="67">
    <w:name w:val="未处理的提及1"/>
    <w:basedOn w:val="39"/>
    <w:semiHidden/>
    <w:unhideWhenUsed/>
    <w:qFormat/>
    <w:uiPriority w:val="99"/>
    <w:rPr>
      <w:color w:val="605E5C"/>
      <w:shd w:val="clear" w:color="auto" w:fill="E1DFDD"/>
    </w:rPr>
  </w:style>
  <w:style w:type="character" w:customStyle="1" w:styleId="68">
    <w:name w:val="正文2 Char"/>
    <w:basedOn w:val="39"/>
    <w:link w:val="48"/>
    <w:qFormat/>
    <w:uiPriority w:val="0"/>
    <w:rPr>
      <w:rFonts w:ascii="仿宋_GB2312" w:hAnsiTheme="minorHAnsi"/>
    </w:rPr>
  </w:style>
  <w:style w:type="paragraph" w:customStyle="1" w:styleId="69">
    <w:name w:val="TOC Heading"/>
    <w:basedOn w:val="2"/>
    <w:next w:val="1"/>
    <w:unhideWhenUsed/>
    <w:qFormat/>
    <w:uiPriority w:val="39"/>
    <w:pPr>
      <w:spacing w:beforeLines="0" w:afterLines="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70">
    <w:name w:val="表格文字"/>
    <w:basedOn w:val="48"/>
    <w:link w:val="71"/>
    <w:qFormat/>
    <w:uiPriority w:val="0"/>
    <w:pPr>
      <w:spacing w:line="360" w:lineRule="exact"/>
      <w:ind w:firstLine="0" w:firstLineChars="0"/>
    </w:pPr>
    <w:rPr>
      <w:sz w:val="24"/>
      <w:szCs w:val="24"/>
    </w:rPr>
  </w:style>
  <w:style w:type="character" w:customStyle="1" w:styleId="71">
    <w:name w:val="表格文字 Char"/>
    <w:basedOn w:val="68"/>
    <w:link w:val="70"/>
    <w:uiPriority w:val="0"/>
    <w:rPr>
      <w:rFonts w:ascii="仿宋_GB2312" w:hAnsiTheme="minorHAnsi"/>
      <w:sz w:val="24"/>
      <w:szCs w:val="24"/>
    </w:rPr>
  </w:style>
  <w:style w:type="character" w:customStyle="1" w:styleId="72">
    <w:name w:val="图片 Char"/>
    <w:basedOn w:val="68"/>
    <w:link w:val="47"/>
    <w:uiPriority w:val="0"/>
    <w:rPr>
      <w:rFonts w:ascii="仿宋_GB2312" w:hAnsiTheme="minorHAnsi"/>
    </w:rPr>
  </w:style>
  <w:style w:type="character" w:customStyle="1" w:styleId="73">
    <w:name w:val="正文文本 Char"/>
    <w:link w:val="13"/>
    <w:uiPriority w:val="99"/>
    <w:rPr>
      <w:rFonts w:ascii="Calibri" w:hAnsi="Calibri" w:eastAsia="宋体"/>
      <w:sz w:val="21"/>
      <w:szCs w:val="22"/>
    </w:rPr>
  </w:style>
  <w:style w:type="character" w:customStyle="1" w:styleId="74">
    <w:name w:val="正文文本 2 Char"/>
    <w:link w:val="32"/>
    <w:uiPriority w:val="0"/>
    <w:rPr>
      <w:rFonts w:ascii="Times New Roman" w:hAnsi="Times New Roman" w:eastAsia="宋体"/>
      <w:sz w:val="18"/>
      <w:szCs w:val="24"/>
    </w:rPr>
  </w:style>
  <w:style w:type="character" w:customStyle="1" w:styleId="75">
    <w:name w:val="Char Char10"/>
    <w:uiPriority w:val="0"/>
    <w:rPr>
      <w:rFonts w:hint="eastAsia" w:ascii="宋体" w:hAnsi="宋体" w:eastAsia="宋体"/>
      <w:b/>
      <w:kern w:val="2"/>
      <w:sz w:val="32"/>
      <w:szCs w:val="24"/>
      <w:lang w:val="en-US" w:eastAsia="zh-CN" w:bidi="ar-SA"/>
    </w:rPr>
  </w:style>
  <w:style w:type="character" w:customStyle="1" w:styleId="76">
    <w:name w:val="Char Char12"/>
    <w:uiPriority w:val="0"/>
    <w:rPr>
      <w:rFonts w:hint="default" w:ascii="Calibri" w:hAnsi="Calibri" w:eastAsia="宋体" w:cs="Calibri"/>
      <w:b/>
      <w:bCs/>
      <w:kern w:val="44"/>
      <w:sz w:val="44"/>
      <w:szCs w:val="44"/>
      <w:lang w:val="en-US" w:eastAsia="zh-CN" w:bidi="ar-SA"/>
    </w:rPr>
  </w:style>
  <w:style w:type="character" w:customStyle="1" w:styleId="77">
    <w:name w:val="HTML 预设格式 Char"/>
    <w:link w:val="33"/>
    <w:uiPriority w:val="0"/>
    <w:rPr>
      <w:rFonts w:ascii="Arial" w:hAnsi="Arial" w:eastAsia="Times New Roman"/>
      <w:sz w:val="24"/>
      <w:szCs w:val="24"/>
    </w:rPr>
  </w:style>
  <w:style w:type="character" w:customStyle="1" w:styleId="78">
    <w:name w:val="副标题 Char"/>
    <w:link w:val="27"/>
    <w:uiPriority w:val="0"/>
    <w:rPr>
      <w:rFonts w:ascii="Cambria" w:hAnsi="Cambria" w:eastAsia="宋体"/>
      <w:b/>
      <w:bCs/>
      <w:kern w:val="28"/>
      <w:sz w:val="32"/>
      <w:szCs w:val="32"/>
    </w:rPr>
  </w:style>
  <w:style w:type="character" w:customStyle="1" w:styleId="79">
    <w:name w:val="文档结构图 Char"/>
    <w:link w:val="11"/>
    <w:uiPriority w:val="0"/>
    <w:rPr>
      <w:rFonts w:ascii="宋体" w:hAnsi="Times New Roman" w:eastAsia="宋体"/>
      <w:sz w:val="18"/>
      <w:szCs w:val="18"/>
    </w:rPr>
  </w:style>
  <w:style w:type="character" w:customStyle="1" w:styleId="80">
    <w:name w:val="表内容行距 Char"/>
    <w:link w:val="81"/>
    <w:locked/>
    <w:uiPriority w:val="0"/>
    <w:rPr>
      <w:rFonts w:ascii="方正书宋简体" w:eastAsia="方正书宋简体"/>
      <w:szCs w:val="21"/>
    </w:rPr>
  </w:style>
  <w:style w:type="paragraph" w:customStyle="1" w:styleId="81">
    <w:name w:val="表内容行距"/>
    <w:basedOn w:val="1"/>
    <w:link w:val="80"/>
    <w:uiPriority w:val="0"/>
    <w:pPr>
      <w:spacing w:line="340" w:lineRule="exact"/>
      <w:ind w:firstLine="100" w:firstLineChars="100"/>
    </w:pPr>
    <w:rPr>
      <w:rFonts w:ascii="方正书宋简体" w:hAnsi="仿宋" w:eastAsia="方正书宋简体"/>
      <w:sz w:val="28"/>
      <w:szCs w:val="21"/>
    </w:rPr>
  </w:style>
  <w:style w:type="character" w:customStyle="1" w:styleId="82">
    <w:name w:val="纯文本 Char"/>
    <w:link w:val="18"/>
    <w:uiPriority w:val="0"/>
    <w:rPr>
      <w:rFonts w:ascii="宋体" w:hAnsi="Courier New" w:eastAsia="宋体" w:cs="Courier New"/>
      <w:sz w:val="21"/>
      <w:szCs w:val="21"/>
    </w:rPr>
  </w:style>
  <w:style w:type="character" w:customStyle="1" w:styleId="83">
    <w:name w:val="Char Char11"/>
    <w:uiPriority w:val="0"/>
    <w:rPr>
      <w:rFonts w:ascii="Cambria" w:hAnsi="Cambria" w:eastAsia="宋体" w:cs="Times New Roman"/>
      <w:b/>
      <w:bCs/>
      <w:sz w:val="32"/>
      <w:szCs w:val="32"/>
    </w:rPr>
  </w:style>
  <w:style w:type="character" w:customStyle="1" w:styleId="84">
    <w:name w:val="表内容 Char"/>
    <w:link w:val="85"/>
    <w:locked/>
    <w:uiPriority w:val="0"/>
    <w:rPr>
      <w:rFonts w:ascii="宋体" w:hAnsi="宋体" w:eastAsia="宋体" w:cs="宋体"/>
      <w:sz w:val="18"/>
    </w:rPr>
  </w:style>
  <w:style w:type="paragraph" w:customStyle="1" w:styleId="85">
    <w:name w:val="表内容"/>
    <w:basedOn w:val="1"/>
    <w:link w:val="84"/>
    <w:uiPriority w:val="0"/>
    <w:pPr>
      <w:autoSpaceDE w:val="0"/>
      <w:autoSpaceDN w:val="0"/>
      <w:adjustRightInd w:val="0"/>
      <w:spacing w:line="310" w:lineRule="atLeast"/>
      <w:jc w:val="center"/>
    </w:pPr>
    <w:rPr>
      <w:rFonts w:ascii="宋体" w:hAnsi="宋体" w:eastAsia="宋体" w:cs="宋体"/>
      <w:sz w:val="18"/>
      <w:szCs w:val="28"/>
    </w:rPr>
  </w:style>
  <w:style w:type="character" w:customStyle="1" w:styleId="86">
    <w:name w:val="Char Char111"/>
    <w:uiPriority w:val="0"/>
    <w:rPr>
      <w:rFonts w:hint="default" w:ascii="Cambria" w:hAnsi="Cambria" w:eastAsia="宋体" w:cs="Times New Roman"/>
      <w:b/>
      <w:bCs/>
      <w:sz w:val="32"/>
      <w:szCs w:val="32"/>
    </w:rPr>
  </w:style>
  <w:style w:type="character" w:customStyle="1" w:styleId="87">
    <w:name w:val="普通文字 Char Char1"/>
    <w:uiPriority w:val="0"/>
    <w:rPr>
      <w:rFonts w:ascii="宋体" w:hAnsi="Courier New" w:eastAsia="宋体" w:cs="Courier New"/>
      <w:kern w:val="2"/>
      <w:sz w:val="21"/>
      <w:szCs w:val="21"/>
      <w:lang w:val="en-US" w:eastAsia="zh-CN" w:bidi="ar-SA"/>
    </w:rPr>
  </w:style>
  <w:style w:type="character" w:customStyle="1" w:styleId="88">
    <w:name w:val="正文文本缩进 Char"/>
    <w:link w:val="14"/>
    <w:uiPriority w:val="0"/>
    <w:rPr>
      <w:rFonts w:ascii="Times New Roman" w:hAnsi="Times New Roman" w:eastAsia="宋体"/>
      <w:sz w:val="21"/>
      <w:szCs w:val="24"/>
    </w:rPr>
  </w:style>
  <w:style w:type="character" w:customStyle="1" w:styleId="89">
    <w:name w:val="副标题 Char1"/>
    <w:uiPriority w:val="11"/>
    <w:rPr>
      <w:rFonts w:ascii="Calibri Light" w:hAnsi="Calibri Light" w:eastAsia="宋体" w:cs="Times New Roman"/>
      <w:b/>
      <w:bCs/>
      <w:kern w:val="28"/>
      <w:sz w:val="32"/>
      <w:szCs w:val="32"/>
    </w:rPr>
  </w:style>
  <w:style w:type="character" w:customStyle="1" w:styleId="90">
    <w:name w:val="日期 Char"/>
    <w:link w:val="20"/>
    <w:uiPriority w:val="0"/>
    <w:rPr>
      <w:rFonts w:ascii="Times New Roman" w:hAnsi="Times New Roman" w:eastAsia="宋体"/>
      <w:sz w:val="21"/>
      <w:szCs w:val="24"/>
    </w:rPr>
  </w:style>
  <w:style w:type="character" w:customStyle="1" w:styleId="91">
    <w:name w:val="已访问的超链接1"/>
    <w:unhideWhenUsed/>
    <w:uiPriority w:val="99"/>
    <w:rPr>
      <w:color w:val="800080"/>
      <w:u w:val="single"/>
    </w:rPr>
  </w:style>
  <w:style w:type="character" w:customStyle="1" w:styleId="92">
    <w:name w:val="正文文本缩进 3 Char"/>
    <w:link w:val="29"/>
    <w:uiPriority w:val="0"/>
    <w:rPr>
      <w:rFonts w:ascii="Times New Roman" w:hAnsi="Times New Roman" w:eastAsia="宋体"/>
      <w:sz w:val="16"/>
      <w:szCs w:val="16"/>
    </w:rPr>
  </w:style>
  <w:style w:type="character" w:customStyle="1" w:styleId="93">
    <w:name w:val="批注主题 Char"/>
    <w:link w:val="36"/>
    <w:uiPriority w:val="99"/>
    <w:rPr>
      <w:rFonts w:ascii="Calibri" w:hAnsi="Calibri" w:eastAsia="宋体"/>
      <w:b/>
      <w:bCs/>
      <w:sz w:val="21"/>
      <w:szCs w:val="22"/>
    </w:rPr>
  </w:style>
  <w:style w:type="character" w:customStyle="1" w:styleId="94">
    <w:name w:val="批注文字 Char"/>
    <w:basedOn w:val="39"/>
    <w:link w:val="12"/>
    <w:semiHidden/>
    <w:uiPriority w:val="99"/>
    <w:rPr>
      <w:rFonts w:asciiTheme="minorHAnsi" w:hAnsiTheme="minorHAnsi" w:eastAsiaTheme="minorEastAsia"/>
      <w:sz w:val="21"/>
      <w:szCs w:val="22"/>
    </w:rPr>
  </w:style>
  <w:style w:type="character" w:customStyle="1" w:styleId="95">
    <w:name w:val="Char Char101"/>
    <w:uiPriority w:val="0"/>
    <w:rPr>
      <w:rFonts w:eastAsia="宋体"/>
      <w:b/>
      <w:kern w:val="2"/>
      <w:sz w:val="32"/>
      <w:szCs w:val="24"/>
      <w:lang w:val="en-US" w:eastAsia="zh-CN" w:bidi="ar-SA"/>
    </w:rPr>
  </w:style>
  <w:style w:type="character" w:customStyle="1" w:styleId="96">
    <w:name w:val="Char Char9"/>
    <w:uiPriority w:val="0"/>
    <w:rPr>
      <w:rFonts w:hint="eastAsia" w:ascii="宋体" w:hAnsi="宋体" w:eastAsia="宋体"/>
      <w:kern w:val="2"/>
      <w:sz w:val="18"/>
      <w:szCs w:val="24"/>
      <w:lang w:val="en-US" w:eastAsia="zh-CN" w:bidi="ar-SA"/>
    </w:rPr>
  </w:style>
  <w:style w:type="character" w:customStyle="1" w:styleId="97">
    <w:name w:val="Char Char121"/>
    <w:uiPriority w:val="0"/>
    <w:rPr>
      <w:rFonts w:ascii="Calibri" w:hAnsi="Calibri" w:eastAsia="宋体"/>
      <w:b/>
      <w:bCs/>
      <w:kern w:val="44"/>
      <w:sz w:val="44"/>
      <w:szCs w:val="44"/>
      <w:lang w:val="en-US" w:eastAsia="zh-CN" w:bidi="ar-SA"/>
    </w:rPr>
  </w:style>
  <w:style w:type="character" w:customStyle="1" w:styleId="98">
    <w:name w:val="style1"/>
    <w:uiPriority w:val="0"/>
  </w:style>
  <w:style w:type="character" w:customStyle="1" w:styleId="99">
    <w:name w:val="pt121"/>
    <w:uiPriority w:val="0"/>
    <w:rPr>
      <w:sz w:val="24"/>
      <w:szCs w:val="24"/>
    </w:rPr>
  </w:style>
  <w:style w:type="character" w:customStyle="1" w:styleId="100">
    <w:name w:val="Char Char91"/>
    <w:uiPriority w:val="0"/>
    <w:rPr>
      <w:rFonts w:eastAsia="宋体"/>
      <w:kern w:val="2"/>
      <w:sz w:val="18"/>
      <w:szCs w:val="24"/>
      <w:lang w:val="en-US" w:eastAsia="zh-CN" w:bidi="ar-SA"/>
    </w:rPr>
  </w:style>
  <w:style w:type="character" w:customStyle="1" w:styleId="101">
    <w:name w:val="正文文本缩进 2 Char"/>
    <w:link w:val="21"/>
    <w:uiPriority w:val="0"/>
    <w:rPr>
      <w:rFonts w:ascii="Times New Roman" w:hAnsi="Times New Roman" w:eastAsia="宋体"/>
      <w:sz w:val="21"/>
      <w:szCs w:val="24"/>
    </w:rPr>
  </w:style>
  <w:style w:type="paragraph" w:customStyle="1" w:styleId="102">
    <w:name w:val="表题"/>
    <w:basedOn w:val="1"/>
    <w:uiPriority w:val="0"/>
    <w:pPr>
      <w:spacing w:afterLines="20" w:line="362" w:lineRule="exact"/>
      <w:jc w:val="center"/>
    </w:pPr>
    <w:rPr>
      <w:rFonts w:ascii="Times New Roman" w:hAnsi="Times New Roman" w:eastAsia="方正黑体简体" w:cs="Times New Roman"/>
      <w:sz w:val="24"/>
      <w:szCs w:val="24"/>
    </w:rPr>
  </w:style>
  <w:style w:type="character" w:customStyle="1" w:styleId="103">
    <w:name w:val="批注主题 Char2"/>
    <w:basedOn w:val="94"/>
    <w:link w:val="36"/>
    <w:semiHidden/>
    <w:uiPriority w:val="99"/>
    <w:rPr>
      <w:b/>
      <w:bCs/>
    </w:rPr>
  </w:style>
  <w:style w:type="paragraph" w:customStyle="1" w:styleId="104">
    <w:name w:val="reader-word-layer reader-word-s4-5"/>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character" w:customStyle="1" w:styleId="105">
    <w:name w:val="正文文本缩进 3 Char1"/>
    <w:basedOn w:val="39"/>
    <w:link w:val="29"/>
    <w:semiHidden/>
    <w:uiPriority w:val="99"/>
    <w:rPr>
      <w:rFonts w:asciiTheme="minorHAnsi" w:hAnsiTheme="minorHAnsi" w:eastAsiaTheme="minorEastAsia"/>
      <w:sz w:val="16"/>
      <w:szCs w:val="16"/>
    </w:rPr>
  </w:style>
  <w:style w:type="character" w:customStyle="1" w:styleId="106">
    <w:name w:val="正文文本缩进 2 Char1"/>
    <w:basedOn w:val="39"/>
    <w:link w:val="21"/>
    <w:semiHidden/>
    <w:uiPriority w:val="99"/>
    <w:rPr>
      <w:rFonts w:asciiTheme="minorHAnsi" w:hAnsiTheme="minorHAnsi" w:eastAsiaTheme="minorEastAsia"/>
      <w:sz w:val="21"/>
      <w:szCs w:val="22"/>
    </w:rPr>
  </w:style>
  <w:style w:type="paragraph" w:customStyle="1" w:styleId="107">
    <w:name w:val="reader-word-layer reader-word-s1-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标题3"/>
    <w:basedOn w:val="10"/>
    <w:qFormat/>
    <w:uiPriority w:val="0"/>
    <w:pPr>
      <w:spacing w:before="163" w:line="360" w:lineRule="auto"/>
      <w:ind w:firstLine="560"/>
    </w:pPr>
    <w:rPr>
      <w:rFonts w:ascii="宋体" w:eastAsia="宋体"/>
      <w:kern w:val="2"/>
      <w:szCs w:val="30"/>
    </w:rPr>
  </w:style>
  <w:style w:type="paragraph" w:customStyle="1" w:styleId="109">
    <w:name w:val="一、"/>
    <w:basedOn w:val="1"/>
    <w:uiPriority w:val="0"/>
    <w:pPr>
      <w:jc w:val="center"/>
    </w:pPr>
    <w:rPr>
      <w:rFonts w:ascii="Times New Roman" w:hAnsi="Times New Roman" w:eastAsia="宋体" w:cs="Times New Roman"/>
      <w:sz w:val="18"/>
      <w:szCs w:val="20"/>
    </w:rPr>
  </w:style>
  <w:style w:type="paragraph" w:styleId="110">
    <w:name w:val="No Spacing"/>
    <w:next w:val="13"/>
    <w:qFormat/>
    <w:uiPriority w:val="1"/>
    <w:pPr>
      <w:adjustRightInd w:val="0"/>
      <w:snapToGrid w:val="0"/>
      <w:spacing w:beforeLines="50" w:line="360" w:lineRule="auto"/>
      <w:ind w:firstLine="0"/>
      <w:jc w:val="center"/>
    </w:pPr>
    <w:rPr>
      <w:rFonts w:ascii="宋体" w:hAnsi="宋体" w:eastAsia="宋体" w:cs="宋体"/>
      <w:kern w:val="0"/>
      <w:sz w:val="24"/>
      <w:szCs w:val="24"/>
      <w:lang w:val="en-US" w:eastAsia="zh-CN" w:bidi="ar-SA"/>
    </w:rPr>
  </w:style>
  <w:style w:type="paragraph" w:customStyle="1" w:styleId="111">
    <w:name w:val="reader-word-layer reader-word-s2-4 reader-word-s2-16"/>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12">
    <w:name w:val="reader-word-layer reader-word-s1-12"/>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character" w:customStyle="1" w:styleId="113">
    <w:name w:val="日期 Char1"/>
    <w:basedOn w:val="39"/>
    <w:link w:val="20"/>
    <w:semiHidden/>
    <w:uiPriority w:val="99"/>
    <w:rPr>
      <w:rFonts w:asciiTheme="minorHAnsi" w:hAnsiTheme="minorHAnsi" w:eastAsiaTheme="minorEastAsia"/>
      <w:sz w:val="21"/>
      <w:szCs w:val="22"/>
    </w:rPr>
  </w:style>
  <w:style w:type="character" w:customStyle="1" w:styleId="114">
    <w:name w:val="正文文本缩进 Char1"/>
    <w:basedOn w:val="39"/>
    <w:link w:val="14"/>
    <w:semiHidden/>
    <w:uiPriority w:val="99"/>
    <w:rPr>
      <w:rFonts w:asciiTheme="minorHAnsi" w:hAnsiTheme="minorHAnsi" w:eastAsiaTheme="minorEastAsia"/>
      <w:sz w:val="21"/>
      <w:szCs w:val="22"/>
    </w:rPr>
  </w:style>
  <w:style w:type="paragraph" w:customStyle="1" w:styleId="115">
    <w:name w:val="reader-word-layer reader-word-s3-3"/>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16">
    <w:name w:val="reader-word-layer reader-word-s1-9"/>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character" w:customStyle="1" w:styleId="117">
    <w:name w:val="HTML 预设格式 Char1"/>
    <w:basedOn w:val="39"/>
    <w:link w:val="33"/>
    <w:semiHidden/>
    <w:uiPriority w:val="99"/>
    <w:rPr>
      <w:rFonts w:ascii="Courier New" w:hAnsi="Courier New" w:cs="Courier New" w:eastAsiaTheme="minorEastAsia"/>
      <w:sz w:val="20"/>
      <w:szCs w:val="20"/>
    </w:rPr>
  </w:style>
  <w:style w:type="paragraph" w:customStyle="1" w:styleId="118">
    <w:name w:val="reader-word-layer reader-word-s1-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reader-word-layer reader-word-s1-8"/>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20">
    <w:name w:val="样式3"/>
    <w:basedOn w:val="1"/>
    <w:uiPriority w:val="0"/>
    <w:pPr>
      <w:adjustRightInd w:val="0"/>
      <w:spacing w:line="720" w:lineRule="auto"/>
      <w:jc w:val="center"/>
    </w:pPr>
    <w:rPr>
      <w:rFonts w:ascii="Times New Roman" w:hAnsi="Times New Roman" w:eastAsia="黑体" w:cs="Times New Roman"/>
      <w:sz w:val="28"/>
      <w:szCs w:val="20"/>
    </w:rPr>
  </w:style>
  <w:style w:type="paragraph" w:customStyle="1" w:styleId="121">
    <w:name w:val="样式4"/>
    <w:basedOn w:val="1"/>
    <w:uiPriority w:val="0"/>
    <w:pPr>
      <w:tabs>
        <w:tab w:val="left" w:pos="418"/>
      </w:tabs>
      <w:adjustRightInd w:val="0"/>
      <w:spacing w:line="720" w:lineRule="auto"/>
      <w:jc w:val="center"/>
    </w:pPr>
    <w:rPr>
      <w:rFonts w:ascii="Times New Roman" w:hAnsi="Times New Roman" w:eastAsia="楷体_GB2312" w:cs="Times New Roman"/>
      <w:sz w:val="28"/>
      <w:szCs w:val="20"/>
    </w:rPr>
  </w:style>
  <w:style w:type="character" w:customStyle="1" w:styleId="122">
    <w:name w:val="纯文本 Char3"/>
    <w:basedOn w:val="39"/>
    <w:link w:val="18"/>
    <w:semiHidden/>
    <w:uiPriority w:val="99"/>
    <w:rPr>
      <w:rFonts w:ascii="宋体" w:hAnsi="Courier New" w:eastAsia="宋体" w:cs="Courier New"/>
      <w:sz w:val="21"/>
      <w:szCs w:val="21"/>
    </w:rPr>
  </w:style>
  <w:style w:type="character" w:customStyle="1" w:styleId="123">
    <w:name w:val="正文文本 Char1"/>
    <w:basedOn w:val="39"/>
    <w:link w:val="13"/>
    <w:semiHidden/>
    <w:uiPriority w:val="99"/>
    <w:rPr>
      <w:rFonts w:asciiTheme="minorHAnsi" w:hAnsiTheme="minorHAnsi" w:eastAsiaTheme="minorEastAsia"/>
      <w:sz w:val="21"/>
      <w:szCs w:val="22"/>
    </w:rPr>
  </w:style>
  <w:style w:type="paragraph" w:customStyle="1" w:styleId="124">
    <w:name w:val="reader-word-layer reader-word-s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reader-word-layer reader-word-s1-4"/>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6">
    <w:name w:val="正文文本 2 Char1"/>
    <w:basedOn w:val="39"/>
    <w:link w:val="32"/>
    <w:semiHidden/>
    <w:uiPriority w:val="99"/>
    <w:rPr>
      <w:rFonts w:asciiTheme="minorHAnsi" w:hAnsiTheme="minorHAnsi" w:eastAsiaTheme="minorEastAsia"/>
      <w:sz w:val="21"/>
      <w:szCs w:val="22"/>
    </w:rPr>
  </w:style>
  <w:style w:type="paragraph" w:customStyle="1" w:styleId="127">
    <w:name w:val="reader-word-layer reader-word-s3-6"/>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28">
    <w:name w:val="Char"/>
    <w:basedOn w:val="1"/>
    <w:uiPriority w:val="0"/>
    <w:pPr>
      <w:spacing w:before="156"/>
      <w:jc w:val="center"/>
    </w:pPr>
    <w:rPr>
      <w:rFonts w:ascii="宋体" w:hAnsi="宋体" w:eastAsia="宋体" w:cs="宋体"/>
      <w:kern w:val="0"/>
      <w:szCs w:val="20"/>
    </w:rPr>
  </w:style>
  <w:style w:type="character" w:customStyle="1" w:styleId="129">
    <w:name w:val="副标题 Char2"/>
    <w:basedOn w:val="39"/>
    <w:link w:val="27"/>
    <w:uiPriority w:val="11"/>
    <w:rPr>
      <w:rFonts w:eastAsia="宋体" w:asciiTheme="majorHAnsi" w:hAnsiTheme="majorHAnsi" w:cstheme="majorBidi"/>
      <w:b/>
      <w:bCs/>
      <w:kern w:val="28"/>
      <w:sz w:val="32"/>
      <w:szCs w:val="32"/>
    </w:rPr>
  </w:style>
  <w:style w:type="paragraph" w:customStyle="1" w:styleId="130">
    <w:name w:val="reader-word-layer reader-word-s1-6"/>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31">
    <w:name w:val="reader-word-layer reader-word-s1-1"/>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32">
    <w:name w:val="List Paragraph"/>
    <w:basedOn w:val="1"/>
    <w:qFormat/>
    <w:uiPriority w:val="0"/>
    <w:pPr>
      <w:ind w:firstLine="420" w:firstLineChars="200"/>
    </w:pPr>
    <w:rPr>
      <w:rFonts w:ascii="Calibri" w:hAnsi="Calibri" w:eastAsia="宋体" w:cs="Times New Roman"/>
    </w:rPr>
  </w:style>
  <w:style w:type="paragraph" w:customStyle="1" w:styleId="133">
    <w:name w:val="section1"/>
    <w:basedOn w:val="1"/>
    <w:uiPriority w:val="0"/>
    <w:pPr>
      <w:widowControl/>
      <w:spacing w:beforeLines="50" w:line="450" w:lineRule="atLeast"/>
      <w:ind w:firstLine="200" w:firstLineChars="200"/>
      <w:jc w:val="left"/>
    </w:pPr>
    <w:rPr>
      <w:rFonts w:ascii="宋体" w:hAnsi="宋体" w:eastAsia="宋体" w:cs="宋体"/>
      <w:kern w:val="0"/>
      <w:sz w:val="24"/>
    </w:rPr>
  </w:style>
  <w:style w:type="paragraph" w:customStyle="1" w:styleId="134">
    <w:name w:val="reader-word-layer reader-word-s3-10"/>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35">
    <w:name w:val="栏目"/>
    <w:basedOn w:val="3"/>
    <w:qFormat/>
    <w:uiPriority w:val="0"/>
    <w:pPr>
      <w:widowControl w:val="0"/>
      <w:snapToGrid w:val="0"/>
      <w:spacing w:before="260" w:afterLines="0" w:line="360" w:lineRule="auto"/>
    </w:pPr>
    <w:rPr>
      <w:rFonts w:hAnsi="Cambria" w:eastAsia="仿宋_GB2312" w:cs="Times New Roman"/>
      <w:b w:val="0"/>
      <w:bCs w:val="0"/>
      <w:kern w:val="0"/>
      <w:sz w:val="28"/>
      <w:szCs w:val="28"/>
    </w:rPr>
  </w:style>
  <w:style w:type="character" w:customStyle="1" w:styleId="136">
    <w:name w:val="文档结构图 Char1"/>
    <w:basedOn w:val="39"/>
    <w:link w:val="11"/>
    <w:semiHidden/>
    <w:uiPriority w:val="99"/>
    <w:rPr>
      <w:rFonts w:ascii="宋体" w:eastAsia="宋体" w:hAnsiTheme="minorHAnsi"/>
      <w:sz w:val="18"/>
      <w:szCs w:val="18"/>
    </w:rPr>
  </w:style>
  <w:style w:type="paragraph" w:customStyle="1" w:styleId="137">
    <w:name w:val="封面"/>
    <w:basedOn w:val="24"/>
    <w:uiPriority w:val="0"/>
    <w:pPr>
      <w:widowControl w:val="0"/>
      <w:tabs>
        <w:tab w:val="center" w:pos="4153"/>
        <w:tab w:val="right" w:pos="8306"/>
      </w:tabs>
      <w:spacing w:line="240" w:lineRule="auto"/>
    </w:pPr>
    <w:rPr>
      <w:rFonts w:ascii="Times New Roman" w:hAnsi="Times New Roman" w:cs="Times New Roman"/>
      <w:kern w:val="0"/>
      <w:szCs w:val="20"/>
      <w:lang w:val="zh-CN"/>
    </w:rPr>
  </w:style>
  <w:style w:type="paragraph" w:customStyle="1" w:styleId="138">
    <w:name w:val="reader-word-layer reader-word-s3-9"/>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39">
    <w:name w:val="正式内容"/>
    <w:basedOn w:val="1"/>
    <w:qFormat/>
    <w:uiPriority w:val="0"/>
    <w:pPr>
      <w:snapToGrid w:val="0"/>
      <w:spacing w:line="360" w:lineRule="auto"/>
      <w:ind w:firstLine="560" w:firstLineChars="200"/>
    </w:pPr>
    <w:rPr>
      <w:rFonts w:ascii="仿宋_GB2312" w:hAnsi="宋体" w:eastAsia="仿宋_GB2312" w:cs="Times New Roman"/>
      <w:sz w:val="28"/>
      <w:szCs w:val="28"/>
    </w:rPr>
  </w:style>
  <w:style w:type="paragraph" w:customStyle="1" w:styleId="140">
    <w:name w:val="样式2"/>
    <w:basedOn w:val="1"/>
    <w:uiPriority w:val="0"/>
    <w:pPr>
      <w:adjustRightInd w:val="0"/>
      <w:snapToGrid w:val="0"/>
      <w:spacing w:line="310" w:lineRule="atLeast"/>
      <w:jc w:val="center"/>
    </w:pPr>
    <w:rPr>
      <w:rFonts w:ascii="方正大标宋简体" w:hAnsi="Times New Roman" w:eastAsia="方正大标宋简体" w:cs="Times New Roman"/>
      <w:sz w:val="36"/>
      <w:szCs w:val="20"/>
    </w:rPr>
  </w:style>
  <w:style w:type="paragraph" w:customStyle="1" w:styleId="141">
    <w:name w:val="reader-word-layer reader-word-s1-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2">
    <w:name w:val="表里内容"/>
    <w:basedOn w:val="1"/>
    <w:qFormat/>
    <w:uiPriority w:val="0"/>
    <w:pPr>
      <w:jc w:val="left"/>
    </w:pPr>
    <w:rPr>
      <w:rFonts w:ascii="宋体" w:hAnsi="宋体" w:eastAsia="宋体" w:cs="Times New Roman"/>
      <w:szCs w:val="24"/>
    </w:rPr>
  </w:style>
  <w:style w:type="paragraph" w:customStyle="1" w:styleId="143">
    <w:name w:val="reader-word-layer reader-word-s2-4"/>
    <w:basedOn w:val="1"/>
    <w:uiPriority w:val="0"/>
    <w:pPr>
      <w:widowControl/>
      <w:spacing w:before="100" w:beforeAutospacing="1" w:after="100" w:afterAutospacing="1" w:line="360" w:lineRule="auto"/>
      <w:jc w:val="left"/>
    </w:pPr>
    <w:rPr>
      <w:rFonts w:ascii="宋体" w:hAnsi="宋体" w:eastAsia="宋体" w:cs="宋体"/>
      <w:kern w:val="0"/>
      <w:sz w:val="24"/>
      <w:szCs w:val="24"/>
    </w:rPr>
  </w:style>
  <w:style w:type="paragraph" w:customStyle="1" w:styleId="144">
    <w:name w:val="课程名称"/>
    <w:basedOn w:val="2"/>
    <w:qFormat/>
    <w:uiPriority w:val="0"/>
    <w:pPr>
      <w:widowControl w:val="0"/>
      <w:spacing w:before="340" w:after="330" w:line="600" w:lineRule="exact"/>
      <w:jc w:val="center"/>
    </w:pPr>
    <w:rPr>
      <w:rFonts w:hAnsi="宋体" w:cs="Times New Roman"/>
      <w:b w:val="0"/>
      <w:sz w:val="28"/>
      <w:szCs w:val="28"/>
    </w:rPr>
  </w:style>
  <w:style w:type="paragraph" w:customStyle="1" w:styleId="145">
    <w:name w:val="reader-word-layer reader-word-s1-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reader-word-layer reader-word-s1-1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
    <w:name w:val="样式5"/>
    <w:basedOn w:val="1"/>
    <w:uiPriority w:val="0"/>
    <w:pPr>
      <w:adjustRightInd w:val="0"/>
      <w:snapToGrid w:val="0"/>
      <w:spacing w:line="310" w:lineRule="atLeast"/>
      <w:ind w:firstLine="425"/>
    </w:pPr>
    <w:rPr>
      <w:rFonts w:ascii="Arial" w:hAnsi="Arial" w:eastAsia="黑体" w:cs="Times New Roman"/>
      <w:szCs w:val="20"/>
    </w:rPr>
  </w:style>
  <w:style w:type="paragraph" w:customStyle="1" w:styleId="148">
    <w:name w:val="Char1"/>
    <w:basedOn w:val="1"/>
    <w:uiPriority w:val="0"/>
    <w:pPr>
      <w:tabs>
        <w:tab w:val="left" w:pos="360"/>
      </w:tabs>
    </w:pPr>
    <w:rPr>
      <w:rFonts w:hint="eastAsia"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30465;&#31034;&#33539;&#19987;&#19994;&#24314;&#35774;&#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99F7D-F04F-4DCD-98CF-530E4DE7418C}">
  <ds:schemaRefs/>
</ds:datastoreItem>
</file>

<file path=docProps/app.xml><?xml version="1.0" encoding="utf-8"?>
<Properties xmlns="http://schemas.openxmlformats.org/officeDocument/2006/extended-properties" xmlns:vt="http://schemas.openxmlformats.org/officeDocument/2006/docPropsVTypes">
  <Template>省示范专业建设文档模板</Template>
  <Company>Hewlett-Packard</Company>
  <Pages>23</Pages>
  <Words>2722</Words>
  <Characters>15517</Characters>
  <Lines>129</Lines>
  <Paragraphs>36</Paragraphs>
  <TotalTime>0</TotalTime>
  <ScaleCrop>false</ScaleCrop>
  <LinksUpToDate>false</LinksUpToDate>
  <CharactersWithSpaces>18203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2021-07-08T03:06:00Z</dcterms:created>
  <dc:creator>ASUS</dc:creator>
  <cp:lastModifiedBy>Rachel</cp:lastModifiedBy>
  <dcterms:modified xsi:type="dcterms:W3CDTF">2023-04-23T12:38:41Z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