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73404">
      <w:pPr>
        <w:adjustRightInd w:val="0"/>
        <w:snapToGrid w:val="0"/>
        <w:spacing w:line="64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成都市工程职业技术学校</w:t>
      </w:r>
    </w:p>
    <w:p w14:paraId="539FBDEB">
      <w:pPr>
        <w:adjustRightInd w:val="0"/>
        <w:snapToGrid w:val="0"/>
        <w:spacing w:line="64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关于食堂专用结算账户开户银行的比选</w:t>
      </w:r>
    </w:p>
    <w:p w14:paraId="1370F065">
      <w:pPr>
        <w:adjustRightInd w:val="0"/>
        <w:snapToGrid w:val="0"/>
        <w:spacing w:line="64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公告</w:t>
      </w:r>
    </w:p>
    <w:p w14:paraId="3C949E29">
      <w:pPr>
        <w:contextualSpacing/>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各驻区金融机构：</w:t>
      </w:r>
    </w:p>
    <w:p w14:paraId="3F9C652A">
      <w:pPr>
        <w:pStyle w:val="5"/>
        <w:ind w:firstLine="640" w:firstLineChars="200"/>
        <w:rPr>
          <w:rFonts w:hint="eastAsia" w:asciiTheme="minorEastAsia" w:hAnsiTheme="minorEastAsia" w:eastAsiaTheme="minorEastAsia" w:cstheme="minorEastAsia"/>
          <w:b w:val="0"/>
          <w:bCs w:val="0"/>
          <w:szCs w:val="32"/>
        </w:rPr>
      </w:pPr>
      <w:r>
        <w:rPr>
          <w:rFonts w:hint="eastAsia" w:asciiTheme="minorEastAsia" w:hAnsiTheme="minorEastAsia" w:eastAsiaTheme="minorEastAsia" w:cstheme="minorEastAsia"/>
          <w:b w:val="0"/>
          <w:bCs w:val="0"/>
          <w:szCs w:val="32"/>
        </w:rPr>
        <w:t>为规范账户资金管理，根据《成都市青白江区财政局关于转发〈四川省财政厅关于印发〈四川省财政部门和预算单位资金存放管理实施办法〉的通知〉的通知》（青财政〔2024〕82号）等相关要求，拟邀请参与本单位食堂专户账户开户比选事宜，具体情况如下：</w:t>
      </w:r>
    </w:p>
    <w:p w14:paraId="4D15B94E">
      <w:pPr>
        <w:ind w:firstLine="643" w:firstLineChars="200"/>
        <w:rPr>
          <w:rFonts w:ascii="方正仿宋简体" w:hAnsi="方正仿宋简体" w:eastAsia="方正仿宋简体" w:cs="方正仿宋简体"/>
          <w:b/>
          <w:szCs w:val="32"/>
        </w:rPr>
      </w:pPr>
      <w:r>
        <w:rPr>
          <w:rFonts w:hint="eastAsia" w:ascii="方正仿宋简体" w:hAnsi="方正仿宋简体" w:eastAsia="方正仿宋简体" w:cs="方正仿宋简体"/>
          <w:b/>
          <w:szCs w:val="32"/>
        </w:rPr>
        <w:t>一、项目名称</w:t>
      </w:r>
    </w:p>
    <w:p w14:paraId="666764CF">
      <w:pPr>
        <w:pStyle w:val="5"/>
        <w:ind w:firstLine="640" w:firstLineChars="200"/>
        <w:rPr>
          <w:rFonts w:hint="eastAsia" w:asciiTheme="minorEastAsia" w:hAnsiTheme="minorEastAsia" w:eastAsiaTheme="minorEastAsia" w:cstheme="minorEastAsia"/>
          <w:b w:val="0"/>
          <w:bCs w:val="0"/>
          <w:szCs w:val="32"/>
        </w:rPr>
      </w:pPr>
      <w:r>
        <w:rPr>
          <w:rFonts w:hint="eastAsia" w:asciiTheme="minorEastAsia" w:hAnsiTheme="minorEastAsia" w:eastAsiaTheme="minorEastAsia" w:cstheme="minorEastAsia"/>
          <w:b w:val="0"/>
          <w:bCs w:val="0"/>
          <w:szCs w:val="32"/>
        </w:rPr>
        <w:t>成都市工程职业技术学校食堂专户开户银行比选项目。</w:t>
      </w:r>
    </w:p>
    <w:p w14:paraId="17D4C180">
      <w:pPr>
        <w:ind w:firstLine="643" w:firstLineChars="200"/>
        <w:rPr>
          <w:rFonts w:ascii="方正仿宋简体" w:hAnsi="方正仿宋简体" w:eastAsia="方正仿宋简体" w:cs="方正仿宋简体"/>
          <w:b/>
          <w:szCs w:val="32"/>
        </w:rPr>
      </w:pPr>
      <w:r>
        <w:rPr>
          <w:rFonts w:hint="eastAsia" w:ascii="方正仿宋简体" w:hAnsi="方正仿宋简体" w:eastAsia="方正仿宋简体" w:cs="方正仿宋简体"/>
          <w:b/>
          <w:szCs w:val="32"/>
        </w:rPr>
        <w:t>二、比选申请人资格要求</w:t>
      </w:r>
    </w:p>
    <w:p w14:paraId="395B7C33">
      <w:pPr>
        <w:pStyle w:val="5"/>
        <w:ind w:firstLine="640" w:firstLineChars="200"/>
        <w:rPr>
          <w:rFonts w:hint="eastAsia" w:asciiTheme="minorEastAsia" w:hAnsiTheme="minorEastAsia" w:eastAsiaTheme="minorEastAsia" w:cstheme="minorEastAsia"/>
          <w:b w:val="0"/>
          <w:bCs w:val="0"/>
          <w:szCs w:val="32"/>
        </w:rPr>
      </w:pPr>
      <w:r>
        <w:rPr>
          <w:rFonts w:hint="eastAsia" w:asciiTheme="minorEastAsia" w:hAnsiTheme="minorEastAsia" w:eastAsiaTheme="minorEastAsia" w:cstheme="minorEastAsia"/>
          <w:b w:val="0"/>
          <w:bCs w:val="0"/>
          <w:szCs w:val="32"/>
        </w:rPr>
        <w:t>（一）依法开展经营活动，近 3 年内在经营活动中无违法、重大违规记录，且上年度在当地人民银行分支机构综合评价等级为 B 等及以上。</w:t>
      </w:r>
    </w:p>
    <w:p w14:paraId="25C61EA1">
      <w:pPr>
        <w:pStyle w:val="5"/>
        <w:ind w:firstLine="640" w:firstLineChars="200"/>
        <w:rPr>
          <w:rFonts w:hint="eastAsia" w:asciiTheme="minorEastAsia" w:hAnsiTheme="minorEastAsia" w:eastAsiaTheme="minorEastAsia" w:cstheme="minorEastAsia"/>
          <w:b w:val="0"/>
          <w:bCs w:val="0"/>
          <w:szCs w:val="32"/>
        </w:rPr>
      </w:pPr>
      <w:r>
        <w:rPr>
          <w:rFonts w:hint="eastAsia" w:asciiTheme="minorEastAsia" w:hAnsiTheme="minorEastAsia" w:eastAsiaTheme="minorEastAsia" w:cstheme="minorEastAsia"/>
          <w:b w:val="0"/>
          <w:bCs w:val="0"/>
          <w:szCs w:val="32"/>
        </w:rPr>
        <w:t>（二）财务稳健，资本充足率、不良贷款率、拨备覆盖率、流动性覆盖率、流动性比例等指标达到监管标准。</w:t>
      </w:r>
    </w:p>
    <w:p w14:paraId="35315FE3">
      <w:pPr>
        <w:pStyle w:val="5"/>
        <w:ind w:firstLine="640" w:firstLineChars="200"/>
        <w:rPr>
          <w:rFonts w:hint="eastAsia" w:asciiTheme="minorEastAsia" w:hAnsiTheme="minorEastAsia" w:eastAsiaTheme="minorEastAsia" w:cstheme="minorEastAsia"/>
          <w:b w:val="0"/>
          <w:bCs w:val="0"/>
          <w:szCs w:val="32"/>
        </w:rPr>
      </w:pPr>
      <w:r>
        <w:rPr>
          <w:rFonts w:hint="eastAsia" w:asciiTheme="minorEastAsia" w:hAnsiTheme="minorEastAsia" w:eastAsiaTheme="minorEastAsia" w:cstheme="minorEastAsia"/>
          <w:b w:val="0"/>
          <w:bCs w:val="0"/>
          <w:szCs w:val="32"/>
        </w:rPr>
        <w:t>（三）内部管理机制健全，具有较强的风险控制能力，近3年内未发生金融风险及重大违约事件。</w:t>
      </w:r>
    </w:p>
    <w:p w14:paraId="25B6FD39">
      <w:pPr>
        <w:ind w:firstLine="643" w:firstLineChars="200"/>
        <w:rPr>
          <w:rFonts w:hint="eastAsia" w:ascii="方正仿宋简体" w:hAnsi="方正仿宋简体" w:eastAsia="方正仿宋简体" w:cs="方正仿宋简体"/>
          <w:b/>
          <w:szCs w:val="32"/>
        </w:rPr>
      </w:pPr>
      <w:r>
        <w:rPr>
          <w:rFonts w:hint="eastAsia" w:ascii="方正仿宋简体" w:hAnsi="方正仿宋简体" w:eastAsia="方正仿宋简体" w:cs="方正仿宋简体"/>
          <w:b/>
          <w:szCs w:val="32"/>
        </w:rPr>
        <w:t>三、比选指标设置</w:t>
      </w:r>
    </w:p>
    <w:p w14:paraId="00889E9A">
      <w:pPr>
        <w:pStyle w:val="5"/>
        <w:ind w:firstLine="640" w:firstLineChars="200"/>
        <w:rPr>
          <w:rFonts w:hint="eastAsia" w:asciiTheme="minorEastAsia" w:hAnsiTheme="minorEastAsia" w:eastAsiaTheme="minorEastAsia" w:cstheme="minorEastAsia"/>
          <w:b w:val="0"/>
          <w:bCs w:val="0"/>
          <w:szCs w:val="32"/>
        </w:rPr>
      </w:pPr>
      <w:r>
        <w:rPr>
          <w:rFonts w:hint="eastAsia" w:asciiTheme="minorEastAsia" w:hAnsiTheme="minorEastAsia" w:eastAsiaTheme="minorEastAsia" w:cstheme="minorEastAsia"/>
          <w:b w:val="0"/>
          <w:bCs w:val="0"/>
          <w:szCs w:val="32"/>
        </w:rPr>
        <w:t>详见附件1《账户比选综合评分表》。</w:t>
      </w:r>
    </w:p>
    <w:p w14:paraId="01806DCE">
      <w:pPr>
        <w:ind w:firstLine="643" w:firstLineChars="200"/>
        <w:rPr>
          <w:rFonts w:ascii="方正仿宋简体" w:hAnsi="方正仿宋简体" w:eastAsia="方正仿宋简体" w:cs="方正仿宋简体"/>
          <w:b/>
          <w:szCs w:val="32"/>
        </w:rPr>
      </w:pPr>
      <w:r>
        <w:rPr>
          <w:rFonts w:hint="eastAsia" w:ascii="方正仿宋简体" w:hAnsi="方正仿宋简体" w:eastAsia="方正仿宋简体" w:cs="方正仿宋简体"/>
          <w:b/>
          <w:szCs w:val="32"/>
        </w:rPr>
        <w:t>四、比选响应文件内容</w:t>
      </w:r>
    </w:p>
    <w:p w14:paraId="737A7C1F">
      <w:pPr>
        <w:pStyle w:val="5"/>
        <w:ind w:firstLine="640" w:firstLineChars="200"/>
        <w:rPr>
          <w:rFonts w:hint="eastAsia" w:asciiTheme="minorEastAsia" w:hAnsiTheme="minorEastAsia" w:eastAsiaTheme="minorEastAsia" w:cstheme="minorEastAsia"/>
          <w:b w:val="0"/>
          <w:bCs w:val="0"/>
          <w:szCs w:val="32"/>
        </w:rPr>
      </w:pPr>
      <w:r>
        <w:rPr>
          <w:rFonts w:hint="eastAsia" w:asciiTheme="minorEastAsia" w:hAnsiTheme="minorEastAsia" w:eastAsiaTheme="minorEastAsia" w:cstheme="minorEastAsia"/>
          <w:b w:val="0"/>
          <w:bCs w:val="0"/>
          <w:szCs w:val="32"/>
        </w:rPr>
        <w:t>（一）法人营业执照、金融许可证、法定代表人身份证复印件、授权委托人身份证复印件；</w:t>
      </w:r>
    </w:p>
    <w:p w14:paraId="02AC6C31">
      <w:pPr>
        <w:pStyle w:val="5"/>
        <w:ind w:firstLine="640" w:firstLineChars="200"/>
        <w:rPr>
          <w:rFonts w:hint="eastAsia" w:asciiTheme="minorEastAsia" w:hAnsiTheme="minorEastAsia" w:eastAsiaTheme="minorEastAsia" w:cstheme="minorEastAsia"/>
          <w:b w:val="0"/>
          <w:bCs w:val="0"/>
          <w:szCs w:val="32"/>
        </w:rPr>
      </w:pPr>
      <w:r>
        <w:rPr>
          <w:rFonts w:hint="eastAsia" w:asciiTheme="minorEastAsia" w:hAnsiTheme="minorEastAsia" w:eastAsiaTheme="minorEastAsia" w:cstheme="minorEastAsia"/>
          <w:b w:val="0"/>
          <w:bCs w:val="0"/>
          <w:szCs w:val="32"/>
        </w:rPr>
        <w:t>（二）法定代表人或机构负责人授权委托书原件，格式自拟；</w:t>
      </w:r>
    </w:p>
    <w:p w14:paraId="158DD6C1">
      <w:pPr>
        <w:pStyle w:val="5"/>
        <w:ind w:firstLine="640" w:firstLineChars="200"/>
        <w:rPr>
          <w:rFonts w:hint="eastAsia" w:asciiTheme="minorEastAsia" w:hAnsiTheme="minorEastAsia" w:eastAsiaTheme="minorEastAsia" w:cstheme="minorEastAsia"/>
          <w:b w:val="0"/>
          <w:bCs w:val="0"/>
          <w:szCs w:val="32"/>
        </w:rPr>
      </w:pPr>
      <w:r>
        <w:rPr>
          <w:rFonts w:hint="eastAsia" w:asciiTheme="minorEastAsia" w:hAnsiTheme="minorEastAsia" w:eastAsiaTheme="minorEastAsia" w:cstheme="minorEastAsia"/>
          <w:b w:val="0"/>
          <w:bCs w:val="0"/>
          <w:szCs w:val="32"/>
        </w:rPr>
        <w:t>（三）如实填报附件1：《账户比选综合评分表》；</w:t>
      </w:r>
    </w:p>
    <w:p w14:paraId="786CBACB">
      <w:pPr>
        <w:pStyle w:val="5"/>
        <w:ind w:firstLine="640" w:firstLineChars="200"/>
        <w:rPr>
          <w:rFonts w:hint="eastAsia" w:asciiTheme="minorEastAsia" w:hAnsiTheme="minorEastAsia" w:eastAsiaTheme="minorEastAsia" w:cstheme="minorEastAsia"/>
          <w:b w:val="0"/>
          <w:bCs w:val="0"/>
          <w:szCs w:val="32"/>
        </w:rPr>
      </w:pPr>
      <w:r>
        <w:rPr>
          <w:rFonts w:hint="eastAsia" w:asciiTheme="minorEastAsia" w:hAnsiTheme="minorEastAsia" w:eastAsiaTheme="minorEastAsia" w:cstheme="minorEastAsia"/>
          <w:b w:val="0"/>
          <w:bCs w:val="0"/>
          <w:szCs w:val="32"/>
        </w:rPr>
        <w:t>（四）提供附件2：廉政承诺书；</w:t>
      </w:r>
    </w:p>
    <w:p w14:paraId="7FBB47FD">
      <w:pPr>
        <w:pStyle w:val="5"/>
        <w:ind w:firstLine="640" w:firstLineChars="200"/>
        <w:rPr>
          <w:rFonts w:hint="eastAsia" w:asciiTheme="minorEastAsia" w:hAnsiTheme="minorEastAsia" w:eastAsiaTheme="minorEastAsia" w:cstheme="minorEastAsia"/>
          <w:b w:val="0"/>
          <w:bCs w:val="0"/>
          <w:szCs w:val="32"/>
        </w:rPr>
      </w:pPr>
      <w:r>
        <w:rPr>
          <w:rFonts w:hint="eastAsia" w:asciiTheme="minorEastAsia" w:hAnsiTheme="minorEastAsia" w:eastAsiaTheme="minorEastAsia" w:cstheme="minorEastAsia"/>
          <w:b w:val="0"/>
          <w:bCs w:val="0"/>
          <w:szCs w:val="32"/>
        </w:rPr>
        <w:t>（五）提供附件3：无违法违规情况承诺函。</w:t>
      </w:r>
    </w:p>
    <w:p w14:paraId="4423D55D">
      <w:pPr>
        <w:pStyle w:val="5"/>
        <w:ind w:firstLine="640" w:firstLineChars="200"/>
        <w:rPr>
          <w:rFonts w:hint="eastAsia" w:asciiTheme="minorEastAsia" w:hAnsiTheme="minorEastAsia" w:eastAsiaTheme="minorEastAsia" w:cstheme="minorEastAsia"/>
          <w:b w:val="0"/>
          <w:bCs w:val="0"/>
          <w:szCs w:val="32"/>
        </w:rPr>
      </w:pPr>
      <w:r>
        <w:rPr>
          <w:rFonts w:hint="eastAsia" w:asciiTheme="minorEastAsia" w:hAnsiTheme="minorEastAsia" w:eastAsiaTheme="minorEastAsia" w:cstheme="minorEastAsia"/>
          <w:b w:val="0"/>
          <w:bCs w:val="0"/>
          <w:szCs w:val="32"/>
        </w:rPr>
        <w:t>（六）提供附件4：利率承诺函。</w:t>
      </w:r>
    </w:p>
    <w:p w14:paraId="10AF2FEB">
      <w:pPr>
        <w:pStyle w:val="5"/>
        <w:ind w:firstLine="640" w:firstLineChars="200"/>
        <w:rPr>
          <w:rFonts w:hint="eastAsia" w:asciiTheme="minorEastAsia" w:hAnsiTheme="minorEastAsia" w:eastAsiaTheme="minorEastAsia" w:cstheme="minorEastAsia"/>
          <w:b w:val="0"/>
          <w:bCs w:val="0"/>
          <w:szCs w:val="32"/>
        </w:rPr>
      </w:pPr>
      <w:r>
        <w:rPr>
          <w:rFonts w:hint="eastAsia" w:asciiTheme="minorEastAsia" w:hAnsiTheme="minorEastAsia" w:eastAsiaTheme="minorEastAsia" w:cstheme="minorEastAsia"/>
          <w:b w:val="0"/>
          <w:bCs w:val="0"/>
          <w:szCs w:val="32"/>
        </w:rPr>
        <w:t>（七）其他辅助证明材料。</w:t>
      </w:r>
    </w:p>
    <w:p w14:paraId="12B2F097">
      <w:pPr>
        <w:ind w:firstLine="640" w:firstLineChars="200"/>
        <w:rPr>
          <w:rFonts w:ascii="方正黑体简体" w:hAnsi="方正黑体简体" w:eastAsia="方正黑体简体" w:cs="方正黑体简体"/>
          <w:szCs w:val="32"/>
        </w:rPr>
      </w:pPr>
      <w:r>
        <w:rPr>
          <w:rFonts w:hint="eastAsia" w:ascii="方正黑体简体" w:hAnsi="方正黑体简体" w:eastAsia="方正黑体简体" w:cs="方正黑体简体"/>
          <w:szCs w:val="32"/>
        </w:rPr>
        <w:t>以上资料均需加盖公章</w:t>
      </w:r>
    </w:p>
    <w:p w14:paraId="3812FE4B">
      <w:pPr>
        <w:rPr>
          <w:rFonts w:hint="eastAsia" w:ascii="方正仿宋简体" w:hAnsi="方正仿宋简体" w:eastAsia="方正仿宋简体" w:cs="方正仿宋简体"/>
          <w:b/>
          <w:szCs w:val="32"/>
        </w:rPr>
      </w:pPr>
      <w:r>
        <w:rPr>
          <w:rFonts w:hint="eastAsia" w:ascii="方正仿宋简体" w:hAnsi="方正仿宋简体" w:eastAsia="方正仿宋简体" w:cs="方正仿宋简体"/>
          <w:b/>
          <w:szCs w:val="32"/>
        </w:rPr>
        <w:t>五、报名及获得比选文件</w:t>
      </w:r>
    </w:p>
    <w:p w14:paraId="7EB0D04D">
      <w:pPr>
        <w:pStyle w:val="5"/>
        <w:ind w:firstLine="640" w:firstLineChars="200"/>
        <w:rPr>
          <w:rFonts w:hint="eastAsia" w:ascii="宋体" w:hAnsi="宋体" w:cs="宋体"/>
          <w:bCs/>
          <w:sz w:val="24"/>
        </w:rPr>
      </w:pPr>
      <w:r>
        <w:rPr>
          <w:rFonts w:hint="eastAsia" w:asciiTheme="minorEastAsia" w:hAnsiTheme="minorEastAsia" w:eastAsiaTheme="minorEastAsia" w:cstheme="minorEastAsia"/>
          <w:b w:val="0"/>
          <w:bCs w:val="0"/>
          <w:szCs w:val="32"/>
        </w:rPr>
        <w:t>有意参加本项目的比选申请人，到公告下方下载比选文件，在规定的时间报名。比选文件网上公告时间为: 2025年</w:t>
      </w:r>
      <w:r>
        <w:rPr>
          <w:rFonts w:hint="eastAsia" w:asciiTheme="minorEastAsia" w:hAnsiTheme="minorEastAsia" w:eastAsiaTheme="minorEastAsia" w:cstheme="minorEastAsia"/>
          <w:b w:val="0"/>
          <w:bCs w:val="0"/>
          <w:szCs w:val="32"/>
          <w:lang w:val="en-US" w:eastAsia="zh-CN"/>
        </w:rPr>
        <w:t>7</w:t>
      </w:r>
      <w:r>
        <w:rPr>
          <w:rFonts w:hint="eastAsia" w:asciiTheme="minorEastAsia" w:hAnsiTheme="minorEastAsia" w:eastAsiaTheme="minorEastAsia" w:cstheme="minorEastAsia"/>
          <w:b w:val="0"/>
          <w:bCs w:val="0"/>
          <w:szCs w:val="32"/>
        </w:rPr>
        <w:t>月</w:t>
      </w:r>
      <w:r>
        <w:rPr>
          <w:rFonts w:hint="eastAsia" w:asciiTheme="minorEastAsia" w:hAnsiTheme="minorEastAsia" w:eastAsiaTheme="minorEastAsia" w:cstheme="minorEastAsia"/>
          <w:b w:val="0"/>
          <w:bCs w:val="0"/>
          <w:szCs w:val="32"/>
          <w:lang w:val="en-US" w:eastAsia="zh-CN"/>
        </w:rPr>
        <w:t>8</w:t>
      </w:r>
      <w:r>
        <w:rPr>
          <w:rFonts w:hint="eastAsia" w:asciiTheme="minorEastAsia" w:hAnsiTheme="minorEastAsia" w:eastAsiaTheme="minorEastAsia" w:cstheme="minorEastAsia"/>
          <w:b w:val="0"/>
          <w:bCs w:val="0"/>
          <w:szCs w:val="32"/>
        </w:rPr>
        <w:t xml:space="preserve"> 日9:00分至2025年</w:t>
      </w:r>
      <w:r>
        <w:rPr>
          <w:rFonts w:hint="eastAsia" w:asciiTheme="minorEastAsia" w:hAnsiTheme="minorEastAsia" w:eastAsiaTheme="minorEastAsia" w:cstheme="minorEastAsia"/>
          <w:b w:val="0"/>
          <w:bCs w:val="0"/>
          <w:szCs w:val="32"/>
          <w:lang w:val="en-US" w:eastAsia="zh-CN"/>
        </w:rPr>
        <w:t>7</w:t>
      </w:r>
      <w:r>
        <w:rPr>
          <w:rFonts w:hint="eastAsia" w:asciiTheme="minorEastAsia" w:hAnsiTheme="minorEastAsia" w:eastAsiaTheme="minorEastAsia" w:cstheme="minorEastAsia"/>
          <w:b w:val="0"/>
          <w:bCs w:val="0"/>
          <w:szCs w:val="32"/>
        </w:rPr>
        <w:t>月</w:t>
      </w:r>
      <w:r>
        <w:rPr>
          <w:rFonts w:hint="eastAsia" w:asciiTheme="minorEastAsia" w:hAnsiTheme="minorEastAsia" w:eastAsiaTheme="minorEastAsia" w:cstheme="minorEastAsia"/>
          <w:b w:val="0"/>
          <w:bCs w:val="0"/>
          <w:szCs w:val="32"/>
          <w:lang w:val="en-US" w:eastAsia="zh-CN"/>
        </w:rPr>
        <w:t>15</w:t>
      </w:r>
      <w:r>
        <w:rPr>
          <w:rFonts w:hint="eastAsia" w:asciiTheme="minorEastAsia" w:hAnsiTheme="minorEastAsia" w:eastAsiaTheme="minorEastAsia" w:cstheme="minorEastAsia"/>
          <w:b w:val="0"/>
          <w:bCs w:val="0"/>
          <w:szCs w:val="32"/>
        </w:rPr>
        <w:t>日9：</w:t>
      </w:r>
      <w:r>
        <w:rPr>
          <w:rFonts w:hint="eastAsia" w:asciiTheme="minorEastAsia" w:hAnsiTheme="minorEastAsia" w:eastAsiaTheme="minorEastAsia" w:cstheme="minorEastAsia"/>
          <w:b w:val="0"/>
          <w:bCs w:val="0"/>
          <w:szCs w:val="32"/>
          <w:lang w:val="en-US" w:eastAsia="zh-CN"/>
        </w:rPr>
        <w:t>0</w:t>
      </w:r>
      <w:r>
        <w:rPr>
          <w:rFonts w:hint="eastAsia" w:asciiTheme="minorEastAsia" w:hAnsiTheme="minorEastAsia" w:eastAsiaTheme="minorEastAsia" w:cstheme="minorEastAsia"/>
          <w:b w:val="0"/>
          <w:bCs w:val="0"/>
          <w:szCs w:val="32"/>
        </w:rPr>
        <w:t>0分截止（北京时间）。</w:t>
      </w:r>
    </w:p>
    <w:p w14:paraId="0E82B65B">
      <w:pPr>
        <w:widowControl/>
        <w:spacing w:line="360" w:lineRule="auto"/>
        <w:jc w:val="left"/>
        <w:rPr>
          <w:rFonts w:hint="eastAsia" w:asciiTheme="minorEastAsia" w:hAnsiTheme="minorEastAsia" w:eastAsiaTheme="minorEastAsia" w:cstheme="minorEastAsia"/>
          <w:b w:val="0"/>
          <w:bCs w:val="0"/>
          <w:kern w:val="0"/>
          <w:sz w:val="32"/>
          <w:szCs w:val="32"/>
          <w:lang w:val="en-US" w:eastAsia="zh-CN" w:bidi="ar-SA"/>
        </w:rPr>
      </w:pPr>
      <w:r>
        <w:rPr>
          <w:rFonts w:hint="eastAsia" w:ascii="方正仿宋简体" w:hAnsi="方正仿宋简体" w:eastAsia="方正仿宋简体" w:cs="方正仿宋简体"/>
          <w:b/>
          <w:szCs w:val="32"/>
        </w:rPr>
        <w:t>六、比选申请文件接收时间：</w:t>
      </w:r>
      <w:r>
        <w:rPr>
          <w:rFonts w:hint="eastAsia" w:asciiTheme="minorEastAsia" w:hAnsiTheme="minorEastAsia" w:eastAsiaTheme="minorEastAsia" w:cstheme="minorEastAsia"/>
          <w:b w:val="0"/>
          <w:bCs w:val="0"/>
          <w:kern w:val="0"/>
          <w:sz w:val="32"/>
          <w:szCs w:val="32"/>
          <w:lang w:val="en-US" w:eastAsia="zh-CN" w:bidi="ar-SA"/>
        </w:rPr>
        <w:t>2025年7 月15日9:30-10:30（北京时间）。</w:t>
      </w:r>
    </w:p>
    <w:p w14:paraId="25572E08">
      <w:pPr>
        <w:widowControl/>
        <w:spacing w:line="360" w:lineRule="auto"/>
        <w:jc w:val="left"/>
        <w:rPr>
          <w:rFonts w:hint="eastAsia" w:asciiTheme="minorEastAsia" w:hAnsiTheme="minorEastAsia" w:eastAsiaTheme="minorEastAsia" w:cstheme="minorEastAsia"/>
          <w:b w:val="0"/>
          <w:bCs w:val="0"/>
          <w:kern w:val="0"/>
          <w:sz w:val="32"/>
          <w:szCs w:val="32"/>
          <w:lang w:val="en-US" w:eastAsia="zh-CN" w:bidi="ar-SA"/>
        </w:rPr>
      </w:pPr>
      <w:r>
        <w:rPr>
          <w:rFonts w:hint="eastAsia" w:ascii="方正仿宋简体" w:hAnsi="方正仿宋简体" w:eastAsia="方正仿宋简体" w:cs="方正仿宋简体"/>
          <w:b/>
          <w:szCs w:val="32"/>
        </w:rPr>
        <w:t>七、递交比选申请文件截止时间：</w:t>
      </w:r>
      <w:r>
        <w:rPr>
          <w:rFonts w:hint="eastAsia" w:asciiTheme="minorEastAsia" w:hAnsiTheme="minorEastAsia" w:eastAsiaTheme="minorEastAsia" w:cstheme="minorEastAsia"/>
          <w:b w:val="0"/>
          <w:bCs w:val="0"/>
          <w:kern w:val="0"/>
          <w:sz w:val="32"/>
          <w:szCs w:val="32"/>
          <w:lang w:val="en-US" w:eastAsia="zh-CN" w:bidi="ar-SA"/>
        </w:rPr>
        <w:t>2025年7月15 日10:30（北京时间）。</w:t>
      </w:r>
    </w:p>
    <w:p w14:paraId="03EAABB3">
      <w:pPr>
        <w:widowControl/>
        <w:spacing w:line="360" w:lineRule="auto"/>
        <w:jc w:val="left"/>
        <w:rPr>
          <w:rFonts w:hint="eastAsia" w:asciiTheme="minorEastAsia" w:hAnsiTheme="minorEastAsia" w:eastAsiaTheme="minorEastAsia" w:cstheme="minorEastAsia"/>
          <w:b w:val="0"/>
          <w:bCs w:val="0"/>
          <w:kern w:val="0"/>
          <w:sz w:val="32"/>
          <w:szCs w:val="32"/>
          <w:lang w:val="en-US" w:eastAsia="zh-CN" w:bidi="ar-SA"/>
        </w:rPr>
      </w:pPr>
      <w:r>
        <w:rPr>
          <w:rFonts w:hint="eastAsia" w:ascii="方正仿宋简体" w:hAnsi="方正仿宋简体" w:eastAsia="方正仿宋简体" w:cs="方正仿宋简体"/>
          <w:b/>
          <w:szCs w:val="32"/>
        </w:rPr>
        <w:t>八、递交比选申请文件地点：</w:t>
      </w:r>
      <w:r>
        <w:rPr>
          <w:rFonts w:hint="eastAsia" w:asciiTheme="minorEastAsia" w:hAnsiTheme="minorEastAsia" w:eastAsiaTheme="minorEastAsia" w:cstheme="minorEastAsia"/>
          <w:b w:val="0"/>
          <w:bCs w:val="0"/>
          <w:kern w:val="0"/>
          <w:sz w:val="32"/>
          <w:szCs w:val="32"/>
          <w:lang w:val="en-US" w:eastAsia="zh-CN" w:bidi="ar-SA"/>
        </w:rPr>
        <w:t>成都市工程职业技术学校会议室。</w:t>
      </w:r>
    </w:p>
    <w:p w14:paraId="64A2BB89">
      <w:pPr>
        <w:widowControl/>
        <w:spacing w:line="360" w:lineRule="auto"/>
        <w:jc w:val="left"/>
        <w:rPr>
          <w:rFonts w:hint="eastAsia" w:asciiTheme="minorEastAsia" w:hAnsiTheme="minorEastAsia" w:eastAsiaTheme="minorEastAsia" w:cstheme="minorEastAsia"/>
          <w:b w:val="0"/>
          <w:bCs w:val="0"/>
          <w:kern w:val="0"/>
          <w:sz w:val="32"/>
          <w:szCs w:val="32"/>
          <w:lang w:val="en-US" w:eastAsia="zh-CN" w:bidi="ar-SA"/>
        </w:rPr>
      </w:pPr>
      <w:r>
        <w:rPr>
          <w:rFonts w:hint="eastAsia" w:asciiTheme="minorEastAsia" w:hAnsiTheme="minorEastAsia" w:eastAsiaTheme="minorEastAsia" w:cstheme="minorEastAsia"/>
          <w:b w:val="0"/>
          <w:bCs w:val="0"/>
          <w:kern w:val="0"/>
          <w:sz w:val="32"/>
          <w:szCs w:val="32"/>
          <w:lang w:val="en-US" w:eastAsia="zh-CN" w:bidi="ar-SA"/>
        </w:rPr>
        <w:t>比选申请文件必须在递交比选申请文件截止时间前送达比选文件规定的指定地点。逾期送达、密封和标注错误的比选申请文件，采购代理机构恕不接收。本次采购不接收邮寄的比选申请文件。</w:t>
      </w:r>
    </w:p>
    <w:p w14:paraId="28F17313">
      <w:pPr>
        <w:widowControl/>
        <w:spacing w:line="360" w:lineRule="auto"/>
        <w:jc w:val="left"/>
        <w:rPr>
          <w:rFonts w:hint="eastAsia" w:ascii="方正仿宋简体" w:hAnsi="方正仿宋简体" w:eastAsia="方正仿宋简体" w:cs="方正仿宋简体"/>
          <w:b/>
          <w:szCs w:val="32"/>
        </w:rPr>
      </w:pPr>
      <w:r>
        <w:rPr>
          <w:rFonts w:hint="eastAsia" w:ascii="方正仿宋简体" w:hAnsi="方正仿宋简体" w:eastAsia="方正仿宋简体" w:cs="方正仿宋简体"/>
          <w:b/>
          <w:szCs w:val="32"/>
        </w:rPr>
        <w:t>九、发布公告的媒介</w:t>
      </w:r>
      <w:r>
        <w:rPr>
          <w:rFonts w:hint="eastAsia" w:ascii="方正仿宋简体" w:hAnsi="方正仿宋简体" w:eastAsia="方正仿宋简体" w:cs="方正仿宋简体"/>
          <w:b/>
          <w:szCs w:val="32"/>
        </w:rPr>
        <w:tab/>
      </w:r>
    </w:p>
    <w:p w14:paraId="778A2E20">
      <w:pPr>
        <w:widowControl/>
        <w:spacing w:line="360" w:lineRule="auto"/>
        <w:jc w:val="left"/>
        <w:rPr>
          <w:rFonts w:hint="eastAsia" w:asciiTheme="minorEastAsia" w:hAnsiTheme="minorEastAsia" w:eastAsiaTheme="minorEastAsia" w:cstheme="minorEastAsia"/>
          <w:b w:val="0"/>
          <w:bCs w:val="0"/>
          <w:kern w:val="0"/>
          <w:sz w:val="32"/>
          <w:szCs w:val="32"/>
          <w:lang w:val="en-US" w:eastAsia="zh-CN" w:bidi="ar-SA"/>
        </w:rPr>
      </w:pPr>
      <w:r>
        <w:rPr>
          <w:rFonts w:hint="eastAsia" w:asciiTheme="minorEastAsia" w:hAnsiTheme="minorEastAsia" w:eastAsiaTheme="minorEastAsia" w:cstheme="minorEastAsia"/>
          <w:b w:val="0"/>
          <w:bCs w:val="0"/>
          <w:kern w:val="0"/>
          <w:sz w:val="32"/>
          <w:szCs w:val="32"/>
          <w:lang w:val="en-US" w:eastAsia="zh-CN" w:bidi="ar-SA"/>
        </w:rPr>
        <w:t>公告方式：本次公开比选邀请在成都市工程职业技术学校官网以公告形式发布。</w:t>
      </w:r>
    </w:p>
    <w:p w14:paraId="1C82FD99">
      <w:pPr>
        <w:widowControl/>
        <w:spacing w:line="360" w:lineRule="auto"/>
        <w:jc w:val="left"/>
        <w:rPr>
          <w:rFonts w:hint="eastAsia" w:ascii="方正仿宋简体" w:hAnsi="方正仿宋简体" w:eastAsia="方正仿宋简体" w:cs="方正仿宋简体"/>
          <w:b/>
          <w:szCs w:val="32"/>
        </w:rPr>
      </w:pPr>
      <w:r>
        <w:rPr>
          <w:rFonts w:hint="eastAsia" w:ascii="方正仿宋简体" w:hAnsi="方正仿宋简体" w:eastAsia="方正仿宋简体" w:cs="方正仿宋简体"/>
          <w:b/>
          <w:szCs w:val="32"/>
        </w:rPr>
        <w:t>十、联系方式</w:t>
      </w:r>
    </w:p>
    <w:p w14:paraId="1F4EC6A7">
      <w:pPr>
        <w:widowControl/>
        <w:spacing w:line="360" w:lineRule="auto"/>
        <w:jc w:val="left"/>
        <w:rPr>
          <w:rFonts w:hint="eastAsia" w:asciiTheme="minorEastAsia" w:hAnsiTheme="minorEastAsia" w:eastAsiaTheme="minorEastAsia" w:cstheme="minorEastAsia"/>
          <w:b w:val="0"/>
          <w:bCs w:val="0"/>
          <w:kern w:val="0"/>
          <w:sz w:val="32"/>
          <w:szCs w:val="32"/>
          <w:lang w:val="en-US" w:eastAsia="zh-CN" w:bidi="ar-SA"/>
        </w:rPr>
      </w:pPr>
      <w:r>
        <w:rPr>
          <w:rFonts w:hint="eastAsia" w:asciiTheme="minorEastAsia" w:hAnsiTheme="minorEastAsia" w:eastAsiaTheme="minorEastAsia" w:cstheme="minorEastAsia"/>
          <w:b w:val="0"/>
          <w:bCs w:val="0"/>
          <w:kern w:val="0"/>
          <w:sz w:val="32"/>
          <w:szCs w:val="32"/>
          <w:lang w:val="en-US" w:eastAsia="zh-CN" w:bidi="ar-SA"/>
        </w:rPr>
        <w:t>比 选 人：成都市工程职业技术学校</w:t>
      </w:r>
    </w:p>
    <w:p w14:paraId="757E5E4C">
      <w:pPr>
        <w:widowControl/>
        <w:spacing w:line="360" w:lineRule="auto"/>
        <w:jc w:val="left"/>
        <w:rPr>
          <w:rFonts w:hint="eastAsia" w:asciiTheme="minorEastAsia" w:hAnsiTheme="minorEastAsia" w:eastAsiaTheme="minorEastAsia" w:cstheme="minorEastAsia"/>
          <w:b w:val="0"/>
          <w:bCs w:val="0"/>
          <w:kern w:val="0"/>
          <w:sz w:val="32"/>
          <w:szCs w:val="32"/>
          <w:lang w:val="en-US" w:eastAsia="zh-CN" w:bidi="ar-SA"/>
        </w:rPr>
      </w:pPr>
      <w:r>
        <w:rPr>
          <w:rFonts w:hint="eastAsia" w:asciiTheme="minorEastAsia" w:hAnsiTheme="minorEastAsia" w:eastAsiaTheme="minorEastAsia" w:cstheme="minorEastAsia"/>
          <w:b w:val="0"/>
          <w:bCs w:val="0"/>
          <w:kern w:val="0"/>
          <w:sz w:val="32"/>
          <w:szCs w:val="32"/>
          <w:lang w:val="en-US" w:eastAsia="zh-CN" w:bidi="ar-SA"/>
        </w:rPr>
        <w:t>地    址：成都市青白江区姚渡镇祥红路889号</w:t>
      </w:r>
    </w:p>
    <w:p w14:paraId="41A81698">
      <w:pPr>
        <w:widowControl/>
        <w:spacing w:line="360" w:lineRule="auto"/>
        <w:jc w:val="left"/>
        <w:rPr>
          <w:rFonts w:hint="eastAsia" w:asciiTheme="minorEastAsia" w:hAnsiTheme="minorEastAsia" w:eastAsiaTheme="minorEastAsia" w:cstheme="minorEastAsia"/>
          <w:b w:val="0"/>
          <w:bCs w:val="0"/>
          <w:kern w:val="0"/>
          <w:sz w:val="32"/>
          <w:szCs w:val="32"/>
          <w:lang w:val="en-US" w:eastAsia="zh-CN" w:bidi="ar-SA"/>
        </w:rPr>
      </w:pPr>
      <w:r>
        <w:rPr>
          <w:rFonts w:hint="eastAsia" w:asciiTheme="minorEastAsia" w:hAnsiTheme="minorEastAsia" w:eastAsiaTheme="minorEastAsia" w:cstheme="minorEastAsia"/>
          <w:b w:val="0"/>
          <w:bCs w:val="0"/>
          <w:kern w:val="0"/>
          <w:sz w:val="32"/>
          <w:szCs w:val="32"/>
          <w:lang w:val="en-US" w:eastAsia="zh-CN" w:bidi="ar-SA"/>
        </w:rPr>
        <w:t>联 系 人：陈 老 师：13550258789</w:t>
      </w:r>
    </w:p>
    <w:p w14:paraId="60817605">
      <w:pPr>
        <w:widowControl/>
        <w:spacing w:line="360" w:lineRule="auto"/>
        <w:jc w:val="left"/>
        <w:rPr>
          <w:rFonts w:hint="eastAsia" w:asciiTheme="minorEastAsia" w:hAnsiTheme="minorEastAsia" w:eastAsiaTheme="minorEastAsia" w:cstheme="minorEastAsia"/>
          <w:b w:val="0"/>
          <w:bCs w:val="0"/>
          <w:kern w:val="0"/>
          <w:sz w:val="32"/>
          <w:szCs w:val="32"/>
          <w:lang w:val="en-US" w:eastAsia="zh-CN" w:bidi="ar-SA"/>
        </w:rPr>
      </w:pPr>
      <w:r>
        <w:rPr>
          <w:rFonts w:hint="eastAsia" w:asciiTheme="minorEastAsia" w:hAnsiTheme="minorEastAsia" w:eastAsiaTheme="minorEastAsia" w:cstheme="minorEastAsia"/>
          <w:b w:val="0"/>
          <w:bCs w:val="0"/>
          <w:kern w:val="0"/>
          <w:sz w:val="32"/>
          <w:szCs w:val="32"/>
          <w:lang w:val="en-US" w:eastAsia="zh-CN" w:bidi="ar-SA"/>
        </w:rPr>
        <w:t>王 老 师：15928076786</w:t>
      </w:r>
    </w:p>
    <w:p w14:paraId="0F055381">
      <w:pPr>
        <w:ind w:firstLine="640" w:firstLineChars="200"/>
        <w:rPr>
          <w:rFonts w:hint="eastAsia" w:ascii="方正黑体简体" w:hAnsi="方正黑体简体" w:eastAsia="方正黑体简体" w:cs="方正黑体简体"/>
          <w:szCs w:val="32"/>
        </w:rPr>
      </w:pPr>
    </w:p>
    <w:p w14:paraId="3D0755C7">
      <w:pPr>
        <w:tabs>
          <w:tab w:val="left" w:pos="7797"/>
          <w:tab w:val="left" w:pos="7938"/>
        </w:tabs>
        <w:ind w:right="650" w:rightChars="203"/>
        <w:jc w:val="right"/>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成都市工程职业技术学校</w:t>
      </w:r>
    </w:p>
    <w:p w14:paraId="1D8850FC">
      <w:pPr>
        <w:tabs>
          <w:tab w:val="left" w:pos="7797"/>
          <w:tab w:val="left" w:pos="7938"/>
        </w:tabs>
        <w:ind w:right="650" w:rightChars="203"/>
        <w:jc w:val="right"/>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 xml:space="preserve"> </w:t>
      </w:r>
      <w:r>
        <w:rPr>
          <w:rFonts w:hint="eastAsia" w:ascii="方正仿宋简体" w:hAnsi="方正仿宋简体" w:eastAsia="方正仿宋简体" w:cs="方正仿宋简体"/>
          <w:szCs w:val="32"/>
        </w:rPr>
        <w:br w:type="page"/>
      </w:r>
    </w:p>
    <w:p w14:paraId="1AA27D07">
      <w:pPr>
        <w:widowControl/>
        <w:sectPr>
          <w:headerReference r:id="rId5" w:type="default"/>
          <w:footerReference r:id="rId6" w:type="default"/>
          <w:footerReference r:id="rId7" w:type="even"/>
          <w:pgSz w:w="11906" w:h="16838"/>
          <w:pgMar w:top="2098" w:right="1587" w:bottom="1984" w:left="1587" w:header="851" w:footer="1134" w:gutter="0"/>
          <w:cols w:space="0" w:num="1"/>
          <w:docGrid w:type="lines" w:linePitch="439" w:charSpace="0"/>
        </w:sectPr>
      </w:pPr>
    </w:p>
    <w:p w14:paraId="66D386EA">
      <w:pPr>
        <w:spacing w:line="360" w:lineRule="auto"/>
        <w:rPr>
          <w:rFonts w:ascii="方正黑体简体" w:hAnsi="方正黑体简体" w:eastAsia="方正黑体简体" w:cs="方正黑体简体"/>
          <w:szCs w:val="32"/>
        </w:rPr>
      </w:pPr>
      <w:r>
        <w:rPr>
          <w:rFonts w:hint="eastAsia" w:ascii="方正黑体简体" w:hAnsi="方正黑体简体" w:eastAsia="方正黑体简体" w:cs="方正黑体简体"/>
          <w:szCs w:val="32"/>
        </w:rPr>
        <w:t>附件1</w:t>
      </w:r>
    </w:p>
    <w:p w14:paraId="7ABBB7E2">
      <w:pPr>
        <w:spacing w:line="240" w:lineRule="atLeast"/>
        <w:jc w:val="center"/>
        <w:rPr>
          <w:rFonts w:ascii="仿宋_GB2312" w:hAnsi="仿宋" w:eastAsia="仿宋_GB2312" w:cs="仿宋"/>
          <w:szCs w:val="32"/>
        </w:rPr>
      </w:pPr>
      <w:r>
        <w:rPr>
          <w:rFonts w:hint="eastAsia" w:ascii="仿宋_GB2312" w:hAnsi="仿宋" w:eastAsia="仿宋_GB2312" w:cs="仿宋"/>
          <w:szCs w:val="32"/>
        </w:rPr>
        <w:t>账户比选综合评分表</w:t>
      </w:r>
    </w:p>
    <w:tbl>
      <w:tblPr>
        <w:tblStyle w:val="10"/>
        <w:tblW w:w="13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362"/>
        <w:gridCol w:w="2188"/>
        <w:gridCol w:w="770"/>
        <w:gridCol w:w="3630"/>
        <w:gridCol w:w="5211"/>
      </w:tblGrid>
      <w:tr w14:paraId="6080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332" w:type="dxa"/>
            <w:tcBorders>
              <w:top w:val="single" w:color="auto" w:sz="4" w:space="0"/>
              <w:left w:val="single" w:color="auto" w:sz="4" w:space="0"/>
              <w:bottom w:val="single" w:color="auto" w:sz="4" w:space="0"/>
              <w:right w:val="single" w:color="auto" w:sz="4" w:space="0"/>
            </w:tcBorders>
            <w:noWrap w:val="0"/>
            <w:vAlign w:val="center"/>
          </w:tcPr>
          <w:p w14:paraId="18DB1F67">
            <w:pPr>
              <w:keepNext w:val="0"/>
              <w:keepLines w:val="0"/>
              <w:pageBreakBefore w:val="0"/>
              <w:kinsoku/>
              <w:wordWrap/>
              <w:overflowPunct/>
              <w:topLinePunct w:val="0"/>
              <w:autoSpaceDE/>
              <w:autoSpaceDN/>
              <w:bidi w:val="0"/>
              <w:adjustRightInd/>
              <w:snapToGrid w:val="0"/>
              <w:spacing w:line="240" w:lineRule="atLeas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类别</w:t>
            </w:r>
          </w:p>
        </w:tc>
        <w:tc>
          <w:tcPr>
            <w:tcW w:w="2550" w:type="dxa"/>
            <w:gridSpan w:val="2"/>
            <w:tcBorders>
              <w:top w:val="single" w:color="auto" w:sz="4" w:space="0"/>
              <w:left w:val="single" w:color="auto" w:sz="4" w:space="0"/>
              <w:bottom w:val="single" w:color="auto" w:sz="4" w:space="0"/>
              <w:right w:val="single" w:color="auto" w:sz="4" w:space="0"/>
            </w:tcBorders>
            <w:noWrap w:val="0"/>
            <w:vAlign w:val="center"/>
          </w:tcPr>
          <w:p w14:paraId="16881DF8">
            <w:pPr>
              <w:keepNext w:val="0"/>
              <w:keepLines w:val="0"/>
              <w:pageBreakBefore w:val="0"/>
              <w:kinsoku/>
              <w:wordWrap/>
              <w:overflowPunct/>
              <w:topLinePunct w:val="0"/>
              <w:autoSpaceDE/>
              <w:autoSpaceDN/>
              <w:bidi w:val="0"/>
              <w:adjustRightInd/>
              <w:snapToGrid w:val="0"/>
              <w:spacing w:line="240" w:lineRule="atLeas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分项指标</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EFA76E3">
            <w:pPr>
              <w:keepNext w:val="0"/>
              <w:keepLines w:val="0"/>
              <w:pageBreakBefore w:val="0"/>
              <w:kinsoku/>
              <w:wordWrap/>
              <w:overflowPunct/>
              <w:topLinePunct w:val="0"/>
              <w:autoSpaceDE/>
              <w:autoSpaceDN/>
              <w:bidi w:val="0"/>
              <w:adjustRightInd/>
              <w:snapToGrid w:val="0"/>
              <w:spacing w:line="240" w:lineRule="atLeas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分值</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2B121BCF">
            <w:pPr>
              <w:keepNext w:val="0"/>
              <w:keepLines w:val="0"/>
              <w:pageBreakBefore w:val="0"/>
              <w:kinsoku/>
              <w:wordWrap/>
              <w:overflowPunct/>
              <w:topLinePunct w:val="0"/>
              <w:autoSpaceDE/>
              <w:autoSpaceDN/>
              <w:bidi w:val="0"/>
              <w:adjustRightInd/>
              <w:snapToGrid w:val="0"/>
              <w:spacing w:line="240" w:lineRule="atLeast"/>
              <w:jc w:val="center"/>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填报数据</w:t>
            </w:r>
          </w:p>
        </w:tc>
        <w:tc>
          <w:tcPr>
            <w:tcW w:w="5211" w:type="dxa"/>
            <w:tcBorders>
              <w:top w:val="single" w:color="auto" w:sz="4" w:space="0"/>
              <w:left w:val="single" w:color="auto" w:sz="4" w:space="0"/>
              <w:bottom w:val="single" w:color="auto" w:sz="4" w:space="0"/>
              <w:right w:val="single" w:color="auto" w:sz="4" w:space="0"/>
            </w:tcBorders>
            <w:noWrap w:val="0"/>
            <w:vAlign w:val="center"/>
          </w:tcPr>
          <w:p w14:paraId="7105668C">
            <w:pPr>
              <w:keepNext w:val="0"/>
              <w:keepLines w:val="0"/>
              <w:pageBreakBefore w:val="0"/>
              <w:kinsoku/>
              <w:wordWrap/>
              <w:overflowPunct/>
              <w:topLinePunct w:val="0"/>
              <w:autoSpaceDE/>
              <w:autoSpaceDN/>
              <w:bidi w:val="0"/>
              <w:adjustRightInd/>
              <w:snapToGrid w:val="0"/>
              <w:spacing w:line="240" w:lineRule="atLeast"/>
              <w:jc w:val="center"/>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评分方法</w:t>
            </w:r>
          </w:p>
        </w:tc>
      </w:tr>
      <w:tr w14:paraId="3D09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332" w:type="dxa"/>
            <w:vMerge w:val="restart"/>
            <w:tcBorders>
              <w:top w:val="single" w:color="auto" w:sz="4" w:space="0"/>
              <w:left w:val="single" w:color="auto" w:sz="4" w:space="0"/>
              <w:right w:val="single" w:color="auto" w:sz="4" w:space="0"/>
            </w:tcBorders>
            <w:noWrap w:val="0"/>
            <w:vAlign w:val="center"/>
          </w:tcPr>
          <w:p w14:paraId="74DE216E">
            <w:pPr>
              <w:keepNext w:val="0"/>
              <w:keepLines w:val="0"/>
              <w:pageBreakBefore w:val="0"/>
              <w:kinsoku/>
              <w:wordWrap/>
              <w:overflowPunct/>
              <w:topLinePunct w:val="0"/>
              <w:autoSpaceDE/>
              <w:autoSpaceDN/>
              <w:bidi w:val="0"/>
              <w:adjustRightInd/>
              <w:snapToGrid w:val="0"/>
              <w:spacing w:line="240" w:lineRule="atLeas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必选</w:t>
            </w:r>
            <w:r>
              <w:rPr>
                <w:rFonts w:hint="eastAsia" w:ascii="仿宋" w:hAnsi="仿宋" w:eastAsia="仿宋" w:cs="仿宋"/>
                <w:color w:val="auto"/>
                <w:sz w:val="24"/>
                <w:szCs w:val="24"/>
                <w:highlight w:val="none"/>
              </w:rPr>
              <w:t>指标（经营状况）</w:t>
            </w:r>
            <w:r>
              <w:rPr>
                <w:rFonts w:hint="eastAsia" w:ascii="仿宋" w:hAnsi="仿宋" w:eastAsia="仿宋" w:cs="仿宋"/>
                <w:color w:val="auto"/>
                <w:sz w:val="24"/>
                <w:szCs w:val="24"/>
                <w:highlight w:val="none"/>
                <w:lang w:val="en-US" w:eastAsia="zh-CN"/>
              </w:rPr>
              <w:t>40分</w:t>
            </w:r>
          </w:p>
        </w:tc>
        <w:tc>
          <w:tcPr>
            <w:tcW w:w="2550" w:type="dxa"/>
            <w:gridSpan w:val="2"/>
            <w:tcBorders>
              <w:top w:val="single" w:color="auto" w:sz="4" w:space="0"/>
              <w:left w:val="single" w:color="auto" w:sz="4" w:space="0"/>
              <w:bottom w:val="single" w:color="auto" w:sz="4" w:space="0"/>
              <w:right w:val="single" w:color="auto" w:sz="4" w:space="0"/>
            </w:tcBorders>
            <w:noWrap w:val="0"/>
            <w:vAlign w:val="center"/>
          </w:tcPr>
          <w:p w14:paraId="14BB2138">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color w:val="auto"/>
                <w:sz w:val="24"/>
                <w:szCs w:val="24"/>
                <w:highlight w:val="none"/>
                <w:u w:val="none"/>
                <w:lang w:val="en-US" w:eastAsia="zh-CN"/>
              </w:rPr>
              <w:t>总行净资产总额</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068958C">
            <w:pPr>
              <w:keepNext w:val="0"/>
              <w:keepLines w:val="0"/>
              <w:pageBreakBefore w:val="0"/>
              <w:kinsoku/>
              <w:wordWrap/>
              <w:overflowPunct/>
              <w:topLinePunct w:val="0"/>
              <w:autoSpaceDE/>
              <w:autoSpaceDN/>
              <w:bidi w:val="0"/>
              <w:adjustRightInd/>
              <w:snapToGrid w:val="0"/>
              <w:spacing w:line="240" w:lineRule="atLeas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tc>
        <w:tc>
          <w:tcPr>
            <w:tcW w:w="3630" w:type="dxa"/>
            <w:tcBorders>
              <w:top w:val="single" w:color="auto" w:sz="4" w:space="0"/>
              <w:left w:val="single" w:color="auto" w:sz="4" w:space="0"/>
              <w:right w:val="single" w:color="auto" w:sz="4" w:space="0"/>
            </w:tcBorders>
            <w:noWrap w:val="0"/>
            <w:vAlign w:val="center"/>
          </w:tcPr>
          <w:p w14:paraId="64A4EAE6">
            <w:pPr>
              <w:keepNext w:val="0"/>
              <w:keepLines w:val="0"/>
              <w:pageBreakBefore w:val="0"/>
              <w:kinsoku/>
              <w:wordWrap/>
              <w:overflowPunct/>
              <w:topLinePunct w:val="0"/>
              <w:autoSpaceDE/>
              <w:autoSpaceDN/>
              <w:bidi w:val="0"/>
              <w:adjustRightInd/>
              <w:snapToGrid w:val="0"/>
              <w:spacing w:line="240" w:lineRule="atLeast"/>
              <w:jc w:val="left"/>
              <w:rPr>
                <w:rFonts w:hint="default" w:ascii="仿宋" w:hAnsi="仿宋" w:eastAsia="仿宋" w:cs="仿宋"/>
                <w:i/>
                <w:iCs/>
                <w:color w:val="auto"/>
                <w:sz w:val="24"/>
                <w:szCs w:val="24"/>
                <w:highlight w:val="none"/>
                <w:lang w:val="en-US" w:eastAsia="zh-CN"/>
              </w:rPr>
            </w:pPr>
            <w:r>
              <w:rPr>
                <w:rFonts w:hint="eastAsia" w:ascii="仿宋" w:hAnsi="仿宋" w:eastAsia="仿宋" w:cs="仿宋"/>
                <w:i/>
                <w:iCs/>
                <w:color w:val="auto"/>
                <w:sz w:val="24"/>
                <w:szCs w:val="24"/>
                <w:highlight w:val="none"/>
                <w:lang w:val="en-US" w:eastAsia="zh-CN"/>
              </w:rPr>
              <w:t>参选银行提供总行2024年年度报告披露数据</w:t>
            </w:r>
          </w:p>
        </w:tc>
        <w:tc>
          <w:tcPr>
            <w:tcW w:w="5211" w:type="dxa"/>
            <w:tcBorders>
              <w:top w:val="single" w:color="auto" w:sz="4" w:space="0"/>
              <w:left w:val="single" w:color="auto" w:sz="4" w:space="0"/>
              <w:right w:val="single" w:color="auto" w:sz="4" w:space="0"/>
            </w:tcBorders>
            <w:noWrap w:val="0"/>
            <w:vAlign w:val="center"/>
          </w:tcPr>
          <w:p w14:paraId="0A254895">
            <w:pPr>
              <w:keepNext w:val="0"/>
              <w:keepLines w:val="0"/>
              <w:pageBreakBefore w:val="0"/>
              <w:kinsoku/>
              <w:wordWrap/>
              <w:overflowPunct/>
              <w:topLinePunct w:val="0"/>
              <w:autoSpaceDE/>
              <w:autoSpaceDN/>
              <w:bidi w:val="0"/>
              <w:adjustRightInd/>
              <w:snapToGrid w:val="0"/>
              <w:spacing w:line="240" w:lineRule="atLeast"/>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指标得分=（参选行</w:t>
            </w:r>
            <w:r>
              <w:rPr>
                <w:rFonts w:hint="eastAsia" w:ascii="仿宋" w:hAnsi="仿宋" w:eastAsia="仿宋" w:cs="仿宋"/>
                <w:color w:val="auto"/>
                <w:sz w:val="24"/>
                <w:szCs w:val="24"/>
                <w:highlight w:val="none"/>
                <w:lang w:val="en-US" w:eastAsia="zh-CN"/>
              </w:rPr>
              <w:t>本</w:t>
            </w:r>
            <w:r>
              <w:rPr>
                <w:rFonts w:hint="default" w:ascii="仿宋" w:hAnsi="仿宋" w:eastAsia="仿宋" w:cs="仿宋"/>
                <w:color w:val="auto"/>
                <w:sz w:val="24"/>
                <w:szCs w:val="24"/>
                <w:highlight w:val="none"/>
                <w:lang w:val="en-US" w:eastAsia="zh-CN"/>
              </w:rPr>
              <w:t>项指标数值/所有参评银行在本指标中的最大值）×该项指标分值。</w:t>
            </w:r>
          </w:p>
        </w:tc>
      </w:tr>
      <w:tr w14:paraId="72750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332" w:type="dxa"/>
            <w:vMerge w:val="continue"/>
            <w:tcBorders>
              <w:left w:val="single" w:color="auto" w:sz="4" w:space="0"/>
              <w:right w:val="single" w:color="auto" w:sz="4" w:space="0"/>
            </w:tcBorders>
            <w:noWrap w:val="0"/>
            <w:vAlign w:val="center"/>
          </w:tcPr>
          <w:p w14:paraId="18789200">
            <w:pPr>
              <w:keepNext w:val="0"/>
              <w:keepLines w:val="0"/>
              <w:pageBreakBefore w:val="0"/>
              <w:kinsoku/>
              <w:wordWrap/>
              <w:overflowPunct/>
              <w:topLinePunct w:val="0"/>
              <w:autoSpaceDE/>
              <w:autoSpaceDN/>
              <w:bidi w:val="0"/>
              <w:adjustRightInd/>
              <w:snapToGrid w:val="0"/>
              <w:spacing w:line="240" w:lineRule="atLeast"/>
              <w:jc w:val="left"/>
              <w:rPr>
                <w:rFonts w:hint="eastAsia" w:ascii="仿宋" w:hAnsi="仿宋" w:eastAsia="仿宋" w:cs="仿宋"/>
                <w:color w:val="auto"/>
                <w:sz w:val="24"/>
                <w:szCs w:val="24"/>
                <w:highlight w:val="none"/>
              </w:rPr>
            </w:pPr>
          </w:p>
        </w:tc>
        <w:tc>
          <w:tcPr>
            <w:tcW w:w="2550" w:type="dxa"/>
            <w:gridSpan w:val="2"/>
            <w:tcBorders>
              <w:top w:val="single" w:color="auto" w:sz="4" w:space="0"/>
              <w:left w:val="single" w:color="auto" w:sz="4" w:space="0"/>
              <w:bottom w:val="single" w:color="auto" w:sz="4" w:space="0"/>
              <w:right w:val="single" w:color="auto" w:sz="4" w:space="0"/>
            </w:tcBorders>
            <w:noWrap w:val="0"/>
            <w:vAlign w:val="center"/>
          </w:tcPr>
          <w:p w14:paraId="5A963481">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color w:val="auto"/>
                <w:sz w:val="24"/>
                <w:szCs w:val="24"/>
                <w:highlight w:val="none"/>
                <w:u w:val="none"/>
                <w:lang w:val="en-US" w:eastAsia="zh-CN"/>
              </w:rPr>
              <w:t>总行资本充足率</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4CF07FEB">
            <w:pPr>
              <w:keepNext w:val="0"/>
              <w:keepLines w:val="0"/>
              <w:pageBreakBefore w:val="0"/>
              <w:kinsoku/>
              <w:wordWrap/>
              <w:overflowPunct/>
              <w:topLinePunct w:val="0"/>
              <w:autoSpaceDE/>
              <w:autoSpaceDN/>
              <w:bidi w:val="0"/>
              <w:adjustRightInd/>
              <w:snapToGrid w:val="0"/>
              <w:spacing w:line="240" w:lineRule="atLeas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tc>
        <w:tc>
          <w:tcPr>
            <w:tcW w:w="3630" w:type="dxa"/>
            <w:tcBorders>
              <w:left w:val="single" w:color="auto" w:sz="4" w:space="0"/>
              <w:right w:val="single" w:color="auto" w:sz="4" w:space="0"/>
            </w:tcBorders>
            <w:noWrap w:val="0"/>
            <w:vAlign w:val="center"/>
          </w:tcPr>
          <w:p w14:paraId="112B75A5">
            <w:pPr>
              <w:keepNext w:val="0"/>
              <w:keepLines w:val="0"/>
              <w:pageBreakBefore w:val="0"/>
              <w:kinsoku/>
              <w:wordWrap/>
              <w:overflowPunct/>
              <w:topLinePunct w:val="0"/>
              <w:autoSpaceDE/>
              <w:autoSpaceDN/>
              <w:bidi w:val="0"/>
              <w:adjustRightInd/>
              <w:snapToGrid w:val="0"/>
              <w:spacing w:line="240" w:lineRule="atLeast"/>
              <w:jc w:val="left"/>
              <w:rPr>
                <w:rFonts w:hint="eastAsia" w:ascii="仿宋" w:hAnsi="仿宋" w:eastAsia="仿宋" w:cs="仿宋"/>
                <w:i/>
                <w:iCs/>
                <w:color w:val="auto"/>
                <w:sz w:val="24"/>
                <w:szCs w:val="24"/>
                <w:highlight w:val="none"/>
              </w:rPr>
            </w:pPr>
            <w:r>
              <w:rPr>
                <w:rFonts w:hint="eastAsia" w:ascii="仿宋" w:hAnsi="仿宋" w:eastAsia="仿宋" w:cs="仿宋"/>
                <w:i/>
                <w:iCs/>
                <w:color w:val="auto"/>
                <w:sz w:val="24"/>
                <w:szCs w:val="24"/>
                <w:highlight w:val="none"/>
                <w:lang w:val="en-US" w:eastAsia="zh-CN"/>
              </w:rPr>
              <w:t>参选银行提供总行2024年年度报告披露数据</w:t>
            </w:r>
          </w:p>
        </w:tc>
        <w:tc>
          <w:tcPr>
            <w:tcW w:w="5211" w:type="dxa"/>
            <w:tcBorders>
              <w:left w:val="single" w:color="auto" w:sz="4" w:space="0"/>
              <w:right w:val="single" w:color="auto" w:sz="4" w:space="0"/>
            </w:tcBorders>
            <w:noWrap w:val="0"/>
            <w:vAlign w:val="center"/>
          </w:tcPr>
          <w:p w14:paraId="605F7F7E">
            <w:pPr>
              <w:keepNext w:val="0"/>
              <w:keepLines w:val="0"/>
              <w:pageBreakBefore w:val="0"/>
              <w:kinsoku/>
              <w:wordWrap/>
              <w:overflowPunct/>
              <w:topLinePunct w:val="0"/>
              <w:autoSpaceDE/>
              <w:autoSpaceDN/>
              <w:bidi w:val="0"/>
              <w:adjustRightInd/>
              <w:snapToGrid w:val="0"/>
              <w:spacing w:line="240" w:lineRule="atLeast"/>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指标得分=（参选行</w:t>
            </w:r>
            <w:r>
              <w:rPr>
                <w:rFonts w:hint="eastAsia" w:ascii="仿宋" w:hAnsi="仿宋" w:eastAsia="仿宋" w:cs="仿宋"/>
                <w:color w:val="auto"/>
                <w:sz w:val="24"/>
                <w:szCs w:val="24"/>
                <w:highlight w:val="none"/>
                <w:lang w:val="en-US" w:eastAsia="zh-CN"/>
              </w:rPr>
              <w:t>本</w:t>
            </w:r>
            <w:r>
              <w:rPr>
                <w:rFonts w:hint="default" w:ascii="仿宋" w:hAnsi="仿宋" w:eastAsia="仿宋" w:cs="仿宋"/>
                <w:color w:val="auto"/>
                <w:sz w:val="24"/>
                <w:szCs w:val="24"/>
                <w:highlight w:val="none"/>
                <w:lang w:val="en-US" w:eastAsia="zh-CN"/>
              </w:rPr>
              <w:t>项指标数值/所有参评银行在本指标中的最大值）×该项指标分值。</w:t>
            </w:r>
          </w:p>
        </w:tc>
      </w:tr>
      <w:tr w14:paraId="78E59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332" w:type="dxa"/>
            <w:vMerge w:val="continue"/>
            <w:tcBorders>
              <w:left w:val="single" w:color="auto" w:sz="4" w:space="0"/>
              <w:right w:val="single" w:color="auto" w:sz="4" w:space="0"/>
            </w:tcBorders>
            <w:noWrap w:val="0"/>
            <w:vAlign w:val="center"/>
          </w:tcPr>
          <w:p w14:paraId="5A566364">
            <w:pPr>
              <w:keepNext w:val="0"/>
              <w:keepLines w:val="0"/>
              <w:pageBreakBefore w:val="0"/>
              <w:kinsoku/>
              <w:wordWrap/>
              <w:overflowPunct/>
              <w:topLinePunct w:val="0"/>
              <w:autoSpaceDE/>
              <w:autoSpaceDN/>
              <w:bidi w:val="0"/>
              <w:adjustRightInd/>
              <w:snapToGrid w:val="0"/>
              <w:spacing w:line="240" w:lineRule="atLeast"/>
              <w:jc w:val="left"/>
              <w:rPr>
                <w:rFonts w:hint="eastAsia" w:ascii="仿宋" w:hAnsi="仿宋" w:eastAsia="仿宋" w:cs="仿宋"/>
                <w:color w:val="auto"/>
                <w:sz w:val="24"/>
                <w:szCs w:val="24"/>
                <w:highlight w:val="none"/>
              </w:rPr>
            </w:pPr>
          </w:p>
        </w:tc>
        <w:tc>
          <w:tcPr>
            <w:tcW w:w="2550" w:type="dxa"/>
            <w:gridSpan w:val="2"/>
            <w:tcBorders>
              <w:top w:val="single" w:color="auto" w:sz="4" w:space="0"/>
              <w:left w:val="single" w:color="auto" w:sz="4" w:space="0"/>
              <w:bottom w:val="single" w:color="auto" w:sz="4" w:space="0"/>
              <w:right w:val="single" w:color="auto" w:sz="4" w:space="0"/>
            </w:tcBorders>
            <w:noWrap w:val="0"/>
            <w:vAlign w:val="center"/>
          </w:tcPr>
          <w:p w14:paraId="18312FD5">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color w:val="auto"/>
                <w:sz w:val="24"/>
                <w:szCs w:val="24"/>
                <w:highlight w:val="none"/>
                <w:u w:val="none"/>
                <w:lang w:val="en-US" w:eastAsia="zh-CN"/>
              </w:rPr>
              <w:t>总行资产利润率</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8B22196">
            <w:pPr>
              <w:keepNext w:val="0"/>
              <w:keepLines w:val="0"/>
              <w:pageBreakBefore w:val="0"/>
              <w:kinsoku/>
              <w:wordWrap/>
              <w:overflowPunct/>
              <w:topLinePunct w:val="0"/>
              <w:autoSpaceDE/>
              <w:autoSpaceDN/>
              <w:bidi w:val="0"/>
              <w:adjustRightInd/>
              <w:snapToGrid w:val="0"/>
              <w:spacing w:line="240" w:lineRule="atLeas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tc>
        <w:tc>
          <w:tcPr>
            <w:tcW w:w="3630" w:type="dxa"/>
            <w:tcBorders>
              <w:left w:val="single" w:color="auto" w:sz="4" w:space="0"/>
              <w:right w:val="single" w:color="auto" w:sz="4" w:space="0"/>
            </w:tcBorders>
            <w:noWrap w:val="0"/>
            <w:vAlign w:val="center"/>
          </w:tcPr>
          <w:p w14:paraId="5FD2CE12">
            <w:pPr>
              <w:keepNext w:val="0"/>
              <w:keepLines w:val="0"/>
              <w:pageBreakBefore w:val="0"/>
              <w:kinsoku/>
              <w:wordWrap/>
              <w:overflowPunct/>
              <w:topLinePunct w:val="0"/>
              <w:autoSpaceDE/>
              <w:autoSpaceDN/>
              <w:bidi w:val="0"/>
              <w:adjustRightInd/>
              <w:snapToGrid w:val="0"/>
              <w:spacing w:line="240" w:lineRule="atLeast"/>
              <w:jc w:val="left"/>
              <w:rPr>
                <w:rFonts w:hint="eastAsia" w:ascii="仿宋" w:hAnsi="仿宋" w:eastAsia="仿宋" w:cs="仿宋"/>
                <w:i/>
                <w:iCs/>
                <w:color w:val="auto"/>
                <w:sz w:val="24"/>
                <w:szCs w:val="24"/>
                <w:highlight w:val="none"/>
              </w:rPr>
            </w:pPr>
            <w:r>
              <w:rPr>
                <w:rFonts w:hint="eastAsia" w:ascii="仿宋" w:hAnsi="仿宋" w:eastAsia="仿宋" w:cs="仿宋"/>
                <w:i/>
                <w:iCs/>
                <w:color w:val="auto"/>
                <w:sz w:val="24"/>
                <w:szCs w:val="24"/>
                <w:highlight w:val="none"/>
                <w:lang w:val="en-US" w:eastAsia="zh-CN"/>
              </w:rPr>
              <w:t>参选银行提供总行2024年年度报告披露数据</w:t>
            </w:r>
          </w:p>
        </w:tc>
        <w:tc>
          <w:tcPr>
            <w:tcW w:w="5211" w:type="dxa"/>
            <w:tcBorders>
              <w:left w:val="single" w:color="auto" w:sz="4" w:space="0"/>
              <w:right w:val="single" w:color="auto" w:sz="4" w:space="0"/>
            </w:tcBorders>
            <w:noWrap w:val="0"/>
            <w:vAlign w:val="center"/>
          </w:tcPr>
          <w:p w14:paraId="64351C0D">
            <w:pPr>
              <w:keepNext w:val="0"/>
              <w:keepLines w:val="0"/>
              <w:pageBreakBefore w:val="0"/>
              <w:kinsoku/>
              <w:wordWrap/>
              <w:overflowPunct/>
              <w:topLinePunct w:val="0"/>
              <w:autoSpaceDE/>
              <w:autoSpaceDN/>
              <w:bidi w:val="0"/>
              <w:adjustRightInd/>
              <w:snapToGrid w:val="0"/>
              <w:spacing w:line="240" w:lineRule="atLeast"/>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指标得分=（参选行</w:t>
            </w:r>
            <w:r>
              <w:rPr>
                <w:rFonts w:hint="eastAsia" w:ascii="仿宋" w:hAnsi="仿宋" w:eastAsia="仿宋" w:cs="仿宋"/>
                <w:color w:val="auto"/>
                <w:sz w:val="24"/>
                <w:szCs w:val="24"/>
                <w:highlight w:val="none"/>
                <w:lang w:val="en-US" w:eastAsia="zh-CN"/>
              </w:rPr>
              <w:t>本</w:t>
            </w:r>
            <w:r>
              <w:rPr>
                <w:rFonts w:hint="default" w:ascii="仿宋" w:hAnsi="仿宋" w:eastAsia="仿宋" w:cs="仿宋"/>
                <w:color w:val="auto"/>
                <w:sz w:val="24"/>
                <w:szCs w:val="24"/>
                <w:highlight w:val="none"/>
                <w:lang w:val="en-US" w:eastAsia="zh-CN"/>
              </w:rPr>
              <w:t>项指标数值/所有参评银行在本指标中的最大值）×该项指标分值。</w:t>
            </w:r>
          </w:p>
        </w:tc>
      </w:tr>
      <w:tr w14:paraId="31169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332" w:type="dxa"/>
            <w:vMerge w:val="continue"/>
            <w:tcBorders>
              <w:left w:val="single" w:color="auto" w:sz="4" w:space="0"/>
              <w:right w:val="single" w:color="auto" w:sz="4" w:space="0"/>
            </w:tcBorders>
            <w:noWrap w:val="0"/>
            <w:vAlign w:val="center"/>
          </w:tcPr>
          <w:p w14:paraId="735C521F">
            <w:pPr>
              <w:keepNext w:val="0"/>
              <w:keepLines w:val="0"/>
              <w:pageBreakBefore w:val="0"/>
              <w:kinsoku/>
              <w:wordWrap/>
              <w:overflowPunct/>
              <w:topLinePunct w:val="0"/>
              <w:autoSpaceDE/>
              <w:autoSpaceDN/>
              <w:bidi w:val="0"/>
              <w:adjustRightInd/>
              <w:snapToGrid w:val="0"/>
              <w:spacing w:line="240" w:lineRule="atLeast"/>
              <w:jc w:val="left"/>
              <w:rPr>
                <w:rFonts w:hint="eastAsia" w:ascii="仿宋" w:hAnsi="仿宋" w:eastAsia="仿宋" w:cs="仿宋"/>
                <w:color w:val="auto"/>
                <w:sz w:val="24"/>
                <w:szCs w:val="24"/>
                <w:highlight w:val="none"/>
              </w:rPr>
            </w:pPr>
          </w:p>
        </w:tc>
        <w:tc>
          <w:tcPr>
            <w:tcW w:w="2550" w:type="dxa"/>
            <w:gridSpan w:val="2"/>
            <w:tcBorders>
              <w:top w:val="single" w:color="auto" w:sz="4" w:space="0"/>
              <w:left w:val="single" w:color="auto" w:sz="4" w:space="0"/>
              <w:bottom w:val="single" w:color="auto" w:sz="4" w:space="0"/>
              <w:right w:val="single" w:color="auto" w:sz="4" w:space="0"/>
            </w:tcBorders>
            <w:noWrap w:val="0"/>
            <w:vAlign w:val="center"/>
          </w:tcPr>
          <w:p w14:paraId="5BBED8BB">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color w:val="auto"/>
                <w:sz w:val="24"/>
                <w:szCs w:val="24"/>
                <w:highlight w:val="none"/>
                <w:u w:val="none"/>
                <w:lang w:val="en-US" w:eastAsia="zh-CN"/>
              </w:rPr>
              <w:t>总行流动性比例</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187F9EB7">
            <w:pPr>
              <w:keepNext w:val="0"/>
              <w:keepLines w:val="0"/>
              <w:pageBreakBefore w:val="0"/>
              <w:kinsoku/>
              <w:wordWrap/>
              <w:overflowPunct/>
              <w:topLinePunct w:val="0"/>
              <w:autoSpaceDE/>
              <w:autoSpaceDN/>
              <w:bidi w:val="0"/>
              <w:adjustRightInd/>
              <w:snapToGrid w:val="0"/>
              <w:spacing w:line="240" w:lineRule="atLeas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tc>
        <w:tc>
          <w:tcPr>
            <w:tcW w:w="3630" w:type="dxa"/>
            <w:tcBorders>
              <w:left w:val="single" w:color="auto" w:sz="4" w:space="0"/>
              <w:right w:val="single" w:color="auto" w:sz="4" w:space="0"/>
            </w:tcBorders>
            <w:noWrap w:val="0"/>
            <w:vAlign w:val="center"/>
          </w:tcPr>
          <w:p w14:paraId="69399266">
            <w:pPr>
              <w:keepNext w:val="0"/>
              <w:keepLines w:val="0"/>
              <w:pageBreakBefore w:val="0"/>
              <w:kinsoku/>
              <w:wordWrap/>
              <w:overflowPunct/>
              <w:topLinePunct w:val="0"/>
              <w:autoSpaceDE/>
              <w:autoSpaceDN/>
              <w:bidi w:val="0"/>
              <w:adjustRightInd/>
              <w:snapToGrid w:val="0"/>
              <w:spacing w:line="240" w:lineRule="atLeast"/>
              <w:jc w:val="left"/>
              <w:rPr>
                <w:rFonts w:hint="eastAsia" w:ascii="仿宋" w:hAnsi="仿宋" w:eastAsia="仿宋" w:cs="仿宋"/>
                <w:i/>
                <w:iCs/>
                <w:color w:val="auto"/>
                <w:sz w:val="24"/>
                <w:szCs w:val="24"/>
                <w:highlight w:val="none"/>
              </w:rPr>
            </w:pPr>
            <w:r>
              <w:rPr>
                <w:rFonts w:hint="eastAsia" w:ascii="仿宋" w:hAnsi="仿宋" w:eastAsia="仿宋" w:cs="仿宋"/>
                <w:i/>
                <w:iCs/>
                <w:color w:val="auto"/>
                <w:sz w:val="24"/>
                <w:szCs w:val="24"/>
                <w:highlight w:val="none"/>
                <w:lang w:val="en-US" w:eastAsia="zh-CN"/>
              </w:rPr>
              <w:t>参选银行提供总行2024年年度报告披露数据</w:t>
            </w:r>
          </w:p>
        </w:tc>
        <w:tc>
          <w:tcPr>
            <w:tcW w:w="5211" w:type="dxa"/>
            <w:tcBorders>
              <w:left w:val="single" w:color="auto" w:sz="4" w:space="0"/>
              <w:right w:val="single" w:color="auto" w:sz="4" w:space="0"/>
            </w:tcBorders>
            <w:noWrap w:val="0"/>
            <w:vAlign w:val="center"/>
          </w:tcPr>
          <w:p w14:paraId="24121066">
            <w:pPr>
              <w:keepNext w:val="0"/>
              <w:keepLines w:val="0"/>
              <w:pageBreakBefore w:val="0"/>
              <w:kinsoku/>
              <w:wordWrap/>
              <w:overflowPunct/>
              <w:topLinePunct w:val="0"/>
              <w:autoSpaceDE/>
              <w:autoSpaceDN/>
              <w:bidi w:val="0"/>
              <w:adjustRightInd/>
              <w:snapToGrid w:val="0"/>
              <w:spacing w:line="240" w:lineRule="atLeast"/>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指标得分=（参选行</w:t>
            </w:r>
            <w:r>
              <w:rPr>
                <w:rFonts w:hint="eastAsia" w:ascii="仿宋" w:hAnsi="仿宋" w:eastAsia="仿宋" w:cs="仿宋"/>
                <w:color w:val="auto"/>
                <w:sz w:val="24"/>
                <w:szCs w:val="24"/>
                <w:highlight w:val="none"/>
                <w:lang w:val="en-US" w:eastAsia="zh-CN"/>
              </w:rPr>
              <w:t>本</w:t>
            </w:r>
            <w:r>
              <w:rPr>
                <w:rFonts w:hint="default" w:ascii="仿宋" w:hAnsi="仿宋" w:eastAsia="仿宋" w:cs="仿宋"/>
                <w:color w:val="auto"/>
                <w:sz w:val="24"/>
                <w:szCs w:val="24"/>
                <w:highlight w:val="none"/>
                <w:lang w:val="en-US" w:eastAsia="zh-CN"/>
              </w:rPr>
              <w:t>项指标数值/所有参评银行在本指标中的最大值）×该项指标分值。</w:t>
            </w:r>
          </w:p>
        </w:tc>
      </w:tr>
      <w:tr w14:paraId="77E7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332" w:type="dxa"/>
            <w:vMerge w:val="continue"/>
            <w:tcBorders>
              <w:left w:val="single" w:color="auto" w:sz="4" w:space="0"/>
              <w:right w:val="single" w:color="auto" w:sz="4" w:space="0"/>
            </w:tcBorders>
            <w:noWrap w:val="0"/>
            <w:vAlign w:val="center"/>
          </w:tcPr>
          <w:p w14:paraId="28C64A80">
            <w:pPr>
              <w:keepNext w:val="0"/>
              <w:keepLines w:val="0"/>
              <w:pageBreakBefore w:val="0"/>
              <w:kinsoku/>
              <w:wordWrap/>
              <w:overflowPunct/>
              <w:topLinePunct w:val="0"/>
              <w:autoSpaceDE/>
              <w:autoSpaceDN/>
              <w:bidi w:val="0"/>
              <w:adjustRightInd/>
              <w:snapToGrid w:val="0"/>
              <w:spacing w:line="240" w:lineRule="atLeast"/>
              <w:jc w:val="left"/>
              <w:rPr>
                <w:rFonts w:hint="eastAsia" w:ascii="仿宋" w:hAnsi="仿宋" w:eastAsia="仿宋" w:cs="仿宋"/>
                <w:color w:val="auto"/>
                <w:sz w:val="24"/>
                <w:szCs w:val="24"/>
                <w:highlight w:val="none"/>
              </w:rPr>
            </w:pPr>
          </w:p>
        </w:tc>
        <w:tc>
          <w:tcPr>
            <w:tcW w:w="2550" w:type="dxa"/>
            <w:gridSpan w:val="2"/>
            <w:tcBorders>
              <w:top w:val="single" w:color="auto" w:sz="4" w:space="0"/>
              <w:left w:val="single" w:color="auto" w:sz="4" w:space="0"/>
              <w:bottom w:val="single" w:color="auto" w:sz="4" w:space="0"/>
              <w:right w:val="single" w:color="auto" w:sz="4" w:space="0"/>
            </w:tcBorders>
            <w:noWrap w:val="0"/>
            <w:vAlign w:val="center"/>
          </w:tcPr>
          <w:p w14:paraId="66DE0A2F">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仿宋" w:hAnsi="仿宋" w:eastAsia="仿宋" w:cs="仿宋"/>
                <w:color w:val="auto"/>
                <w:sz w:val="24"/>
                <w:szCs w:val="24"/>
                <w:highlight w:val="none"/>
                <w:lang w:val="en-US"/>
              </w:rPr>
            </w:pPr>
            <w:r>
              <w:rPr>
                <w:rFonts w:hint="eastAsia" w:ascii="仿宋" w:hAnsi="仿宋" w:eastAsia="仿宋" w:cs="仿宋"/>
                <w:i w:val="0"/>
                <w:color w:val="auto"/>
                <w:sz w:val="24"/>
                <w:szCs w:val="24"/>
                <w:highlight w:val="none"/>
                <w:u w:val="none"/>
                <w:lang w:val="en-US" w:eastAsia="zh-CN"/>
              </w:rPr>
              <w:t>总行不良贷款率</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4074CD5C">
            <w:pPr>
              <w:keepNext w:val="0"/>
              <w:keepLines w:val="0"/>
              <w:pageBreakBefore w:val="0"/>
              <w:kinsoku/>
              <w:wordWrap/>
              <w:overflowPunct/>
              <w:topLinePunct w:val="0"/>
              <w:autoSpaceDE/>
              <w:autoSpaceDN/>
              <w:bidi w:val="0"/>
              <w:adjustRightInd/>
              <w:snapToGrid w:val="0"/>
              <w:spacing w:line="240" w:lineRule="atLeas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tc>
        <w:tc>
          <w:tcPr>
            <w:tcW w:w="3630" w:type="dxa"/>
            <w:tcBorders>
              <w:left w:val="single" w:color="auto" w:sz="4" w:space="0"/>
              <w:right w:val="single" w:color="auto" w:sz="4" w:space="0"/>
            </w:tcBorders>
            <w:noWrap w:val="0"/>
            <w:vAlign w:val="center"/>
          </w:tcPr>
          <w:p w14:paraId="78DA8254">
            <w:pPr>
              <w:keepNext w:val="0"/>
              <w:keepLines w:val="0"/>
              <w:pageBreakBefore w:val="0"/>
              <w:kinsoku/>
              <w:wordWrap/>
              <w:overflowPunct/>
              <w:topLinePunct w:val="0"/>
              <w:autoSpaceDE/>
              <w:autoSpaceDN/>
              <w:bidi w:val="0"/>
              <w:adjustRightInd/>
              <w:snapToGrid w:val="0"/>
              <w:spacing w:line="240" w:lineRule="atLeast"/>
              <w:jc w:val="left"/>
              <w:rPr>
                <w:rFonts w:hint="eastAsia" w:ascii="仿宋" w:hAnsi="仿宋" w:eastAsia="仿宋" w:cs="仿宋"/>
                <w:i/>
                <w:iCs/>
                <w:color w:val="auto"/>
                <w:sz w:val="24"/>
                <w:szCs w:val="24"/>
                <w:highlight w:val="none"/>
              </w:rPr>
            </w:pPr>
            <w:r>
              <w:rPr>
                <w:rFonts w:hint="eastAsia" w:ascii="仿宋" w:hAnsi="仿宋" w:eastAsia="仿宋" w:cs="仿宋"/>
                <w:i/>
                <w:iCs/>
                <w:color w:val="auto"/>
                <w:sz w:val="24"/>
                <w:szCs w:val="24"/>
                <w:highlight w:val="none"/>
                <w:lang w:val="en-US" w:eastAsia="zh-CN"/>
              </w:rPr>
              <w:t>参选银行提供总行2024年年度报告披露数据</w:t>
            </w:r>
          </w:p>
        </w:tc>
        <w:tc>
          <w:tcPr>
            <w:tcW w:w="5211" w:type="dxa"/>
            <w:tcBorders>
              <w:left w:val="single" w:color="auto" w:sz="4" w:space="0"/>
              <w:right w:val="single" w:color="auto" w:sz="4" w:space="0"/>
            </w:tcBorders>
            <w:noWrap w:val="0"/>
            <w:vAlign w:val="center"/>
          </w:tcPr>
          <w:p w14:paraId="32E26862">
            <w:pPr>
              <w:keepNext w:val="0"/>
              <w:keepLines w:val="0"/>
              <w:pageBreakBefore w:val="0"/>
              <w:kinsoku/>
              <w:wordWrap/>
              <w:overflowPunct/>
              <w:topLinePunct w:val="0"/>
              <w:autoSpaceDE/>
              <w:autoSpaceDN/>
              <w:bidi w:val="0"/>
              <w:adjustRightInd/>
              <w:snapToGrid w:val="0"/>
              <w:spacing w:line="240" w:lineRule="atLeast"/>
              <w:jc w:val="left"/>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指标得分=（所有参评银行在本指标中的最</w:t>
            </w:r>
            <w:r>
              <w:rPr>
                <w:rFonts w:hint="eastAsia" w:ascii="仿宋" w:hAnsi="仿宋" w:eastAsia="仿宋" w:cs="仿宋"/>
                <w:color w:val="auto"/>
                <w:sz w:val="24"/>
                <w:szCs w:val="24"/>
                <w:highlight w:val="none"/>
                <w:lang w:val="en-US" w:eastAsia="zh-CN"/>
              </w:rPr>
              <w:t>小</w:t>
            </w:r>
            <w:r>
              <w:rPr>
                <w:rFonts w:hint="default" w:ascii="仿宋" w:hAnsi="仿宋" w:eastAsia="仿宋" w:cs="仿宋"/>
                <w:color w:val="auto"/>
                <w:sz w:val="24"/>
                <w:szCs w:val="24"/>
                <w:highlight w:val="none"/>
                <w:lang w:val="en-US" w:eastAsia="zh-CN"/>
              </w:rPr>
              <w:t>值</w:t>
            </w:r>
            <w:r>
              <w:rPr>
                <w:rFonts w:hint="eastAsia" w:ascii="仿宋" w:hAnsi="仿宋" w:eastAsia="仿宋" w:cs="仿宋"/>
                <w:color w:val="auto"/>
                <w:sz w:val="24"/>
                <w:szCs w:val="24"/>
                <w:highlight w:val="none"/>
                <w:lang w:val="en-US" w:eastAsia="zh-CN"/>
              </w:rPr>
              <w:t>/</w:t>
            </w:r>
            <w:r>
              <w:rPr>
                <w:rFonts w:hint="default" w:ascii="仿宋" w:hAnsi="仿宋" w:eastAsia="仿宋" w:cs="仿宋"/>
                <w:color w:val="auto"/>
                <w:sz w:val="24"/>
                <w:szCs w:val="24"/>
                <w:highlight w:val="none"/>
                <w:lang w:val="en-US" w:eastAsia="zh-CN"/>
              </w:rPr>
              <w:t>参选行</w:t>
            </w:r>
            <w:r>
              <w:rPr>
                <w:rFonts w:hint="eastAsia" w:ascii="仿宋" w:hAnsi="仿宋" w:eastAsia="仿宋" w:cs="仿宋"/>
                <w:color w:val="auto"/>
                <w:sz w:val="24"/>
                <w:szCs w:val="24"/>
                <w:highlight w:val="none"/>
                <w:lang w:val="en-US" w:eastAsia="zh-CN"/>
              </w:rPr>
              <w:t>本</w:t>
            </w:r>
            <w:r>
              <w:rPr>
                <w:rFonts w:hint="default" w:ascii="仿宋" w:hAnsi="仿宋" w:eastAsia="仿宋" w:cs="仿宋"/>
                <w:color w:val="auto"/>
                <w:sz w:val="24"/>
                <w:szCs w:val="24"/>
                <w:highlight w:val="none"/>
                <w:lang w:val="en-US" w:eastAsia="zh-CN"/>
              </w:rPr>
              <w:t>项指标数值）×该项指标分值。</w:t>
            </w:r>
          </w:p>
        </w:tc>
      </w:tr>
      <w:tr w14:paraId="755B2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332" w:type="dxa"/>
            <w:vMerge w:val="restart"/>
            <w:tcBorders>
              <w:top w:val="single" w:color="auto" w:sz="4" w:space="0"/>
              <w:left w:val="single" w:color="auto" w:sz="4" w:space="0"/>
              <w:right w:val="single" w:color="auto" w:sz="4" w:space="0"/>
            </w:tcBorders>
            <w:noWrap w:val="0"/>
            <w:vAlign w:val="center"/>
          </w:tcPr>
          <w:p w14:paraId="19ECC853">
            <w:pPr>
              <w:keepNext w:val="0"/>
              <w:keepLines w:val="0"/>
              <w:pageBreakBefore w:val="0"/>
              <w:kinsoku/>
              <w:wordWrap/>
              <w:overflowPunct/>
              <w:topLinePunct w:val="0"/>
              <w:autoSpaceDE/>
              <w:autoSpaceDN/>
              <w:bidi w:val="0"/>
              <w:adjustRightInd/>
              <w:snapToGrid w:val="0"/>
              <w:spacing w:line="240" w:lineRule="atLeas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必选</w:t>
            </w:r>
            <w:r>
              <w:rPr>
                <w:rFonts w:hint="eastAsia" w:ascii="仿宋" w:hAnsi="仿宋" w:eastAsia="仿宋" w:cs="仿宋"/>
                <w:color w:val="auto"/>
                <w:sz w:val="24"/>
                <w:szCs w:val="24"/>
                <w:highlight w:val="none"/>
              </w:rPr>
              <w:t>指标</w:t>
            </w:r>
          </w:p>
          <w:p w14:paraId="43A40879">
            <w:pPr>
              <w:keepNext w:val="0"/>
              <w:keepLines w:val="0"/>
              <w:pageBreakBefore w:val="0"/>
              <w:kinsoku/>
              <w:wordWrap/>
              <w:overflowPunct/>
              <w:topLinePunct w:val="0"/>
              <w:autoSpaceDE/>
              <w:autoSpaceDN/>
              <w:bidi w:val="0"/>
              <w:adjustRightInd/>
              <w:snapToGrid w:val="0"/>
              <w:spacing w:line="240" w:lineRule="atLeas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20分</w:t>
            </w:r>
          </w:p>
          <w:p w14:paraId="50645C9A">
            <w:pPr>
              <w:keepNext w:val="0"/>
              <w:keepLines w:val="0"/>
              <w:pageBreakBefore w:val="0"/>
              <w:kinsoku/>
              <w:wordWrap/>
              <w:overflowPunct/>
              <w:topLinePunct w:val="0"/>
              <w:autoSpaceDE/>
              <w:autoSpaceDN/>
              <w:bidi w:val="0"/>
              <w:adjustRightInd/>
              <w:snapToGrid w:val="0"/>
              <w:spacing w:line="240" w:lineRule="atLeast"/>
              <w:jc w:val="left"/>
              <w:rPr>
                <w:rFonts w:hint="eastAsia" w:ascii="仿宋" w:hAnsi="仿宋" w:eastAsia="仿宋" w:cs="仿宋"/>
                <w:color w:val="auto"/>
                <w:sz w:val="24"/>
                <w:szCs w:val="24"/>
                <w:highlight w:val="none"/>
              </w:rPr>
            </w:pPr>
          </w:p>
        </w:tc>
        <w:tc>
          <w:tcPr>
            <w:tcW w:w="2550" w:type="dxa"/>
            <w:gridSpan w:val="2"/>
            <w:tcBorders>
              <w:top w:val="single" w:color="auto" w:sz="4" w:space="0"/>
              <w:left w:val="single" w:color="auto" w:sz="4" w:space="0"/>
              <w:right w:val="single" w:color="auto" w:sz="4" w:space="0"/>
            </w:tcBorders>
            <w:noWrap w:val="0"/>
            <w:vAlign w:val="center"/>
          </w:tcPr>
          <w:p w14:paraId="20537CC5">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default" w:ascii="仿宋" w:hAnsi="仿宋" w:eastAsia="仿宋" w:cs="仿宋"/>
                <w:color w:val="auto"/>
                <w:sz w:val="24"/>
                <w:szCs w:val="24"/>
                <w:highlight w:val="none"/>
                <w:lang w:val="en-US"/>
              </w:rPr>
            </w:pPr>
            <w:r>
              <w:rPr>
                <w:rFonts w:hint="eastAsia" w:ascii="仿宋" w:hAnsi="仿宋" w:eastAsia="仿宋" w:cs="仿宋"/>
                <w:i w:val="0"/>
                <w:color w:val="auto"/>
                <w:kern w:val="0"/>
                <w:sz w:val="22"/>
                <w:szCs w:val="22"/>
                <w:highlight w:val="none"/>
                <w:u w:val="none"/>
                <w:lang w:val="en-US" w:eastAsia="zh-CN" w:bidi="ar"/>
              </w:rPr>
              <w:t>参选银行经营活动中有无违法或重大违规记录</w:t>
            </w:r>
          </w:p>
        </w:tc>
        <w:tc>
          <w:tcPr>
            <w:tcW w:w="770" w:type="dxa"/>
            <w:tcBorders>
              <w:top w:val="single" w:color="auto" w:sz="4" w:space="0"/>
              <w:left w:val="single" w:color="auto" w:sz="4" w:space="0"/>
              <w:right w:val="single" w:color="auto" w:sz="4" w:space="0"/>
            </w:tcBorders>
            <w:noWrap w:val="0"/>
            <w:vAlign w:val="center"/>
          </w:tcPr>
          <w:p w14:paraId="7614A2A4">
            <w:pPr>
              <w:keepNext w:val="0"/>
              <w:keepLines w:val="0"/>
              <w:pageBreakBefore w:val="0"/>
              <w:kinsoku/>
              <w:wordWrap/>
              <w:overflowPunct/>
              <w:topLinePunct w:val="0"/>
              <w:autoSpaceDE/>
              <w:autoSpaceDN/>
              <w:bidi w:val="0"/>
              <w:adjustRightInd/>
              <w:snapToGrid w:val="0"/>
              <w:spacing w:line="240" w:lineRule="atLeas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3630" w:type="dxa"/>
            <w:tcBorders>
              <w:top w:val="single" w:color="auto" w:sz="4" w:space="0"/>
              <w:left w:val="single" w:color="auto" w:sz="4" w:space="0"/>
              <w:right w:val="single" w:color="auto" w:sz="4" w:space="0"/>
            </w:tcBorders>
            <w:noWrap w:val="0"/>
            <w:vAlign w:val="center"/>
          </w:tcPr>
          <w:p w14:paraId="222D5204">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 w:hAnsi="仿宋" w:eastAsia="仿宋" w:cs="仿宋"/>
                <w:i/>
                <w:iCs/>
                <w:color w:val="auto"/>
                <w:sz w:val="24"/>
                <w:szCs w:val="24"/>
                <w:highlight w:val="none"/>
                <w:lang w:val="en-US"/>
              </w:rPr>
            </w:pPr>
            <w:r>
              <w:rPr>
                <w:rFonts w:hint="eastAsia" w:ascii="仿宋" w:hAnsi="仿宋" w:eastAsia="仿宋" w:cs="仿宋"/>
                <w:i/>
                <w:iCs/>
                <w:color w:val="auto"/>
                <w:kern w:val="0"/>
                <w:sz w:val="22"/>
                <w:szCs w:val="22"/>
                <w:highlight w:val="none"/>
                <w:u w:val="none"/>
                <w:lang w:val="en-US" w:eastAsia="zh-CN" w:bidi="ar"/>
              </w:rPr>
              <w:t>参选银行</w:t>
            </w:r>
            <w:r>
              <w:rPr>
                <w:rFonts w:hint="eastAsia" w:ascii="仿宋" w:hAnsi="仿宋" w:eastAsia="仿宋" w:cs="仿宋"/>
                <w:i/>
                <w:iCs/>
                <w:color w:val="auto"/>
                <w:sz w:val="24"/>
                <w:szCs w:val="24"/>
                <w:highlight w:val="none"/>
                <w:lang w:val="en-US" w:eastAsia="zh-CN"/>
              </w:rPr>
              <w:t>提供承诺结合公开信息进行评分</w:t>
            </w:r>
          </w:p>
        </w:tc>
        <w:tc>
          <w:tcPr>
            <w:tcW w:w="5211" w:type="dxa"/>
            <w:vMerge w:val="restart"/>
            <w:tcBorders>
              <w:top w:val="single" w:color="auto" w:sz="4" w:space="0"/>
              <w:left w:val="single" w:color="auto" w:sz="4" w:space="0"/>
              <w:right w:val="single" w:color="auto" w:sz="4" w:space="0"/>
            </w:tcBorders>
            <w:noWrap w:val="0"/>
            <w:vAlign w:val="center"/>
          </w:tcPr>
          <w:p w14:paraId="42E11130">
            <w:pPr>
              <w:keepNext w:val="0"/>
              <w:keepLines w:val="0"/>
              <w:pageBreakBefore w:val="0"/>
              <w:kinsoku/>
              <w:wordWrap/>
              <w:overflowPunct/>
              <w:topLinePunct w:val="0"/>
              <w:autoSpaceDE/>
              <w:autoSpaceDN/>
              <w:bidi w:val="0"/>
              <w:adjustRightInd/>
              <w:snapToGrid w:val="0"/>
              <w:spacing w:line="240" w:lineRule="atLeast"/>
              <w:jc w:val="left"/>
              <w:rPr>
                <w:rFonts w:hint="default"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none"/>
                <w:lang w:val="en-US" w:eastAsia="zh-CN"/>
              </w:rPr>
              <w:t>无重大违法违规、违约等得4分，有相关信息扣分，最低得分2分。</w:t>
            </w:r>
          </w:p>
        </w:tc>
      </w:tr>
      <w:tr w14:paraId="3DBE8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332" w:type="dxa"/>
            <w:vMerge w:val="continue"/>
            <w:tcBorders>
              <w:left w:val="single" w:color="auto" w:sz="4" w:space="0"/>
              <w:right w:val="single" w:color="auto" w:sz="4" w:space="0"/>
            </w:tcBorders>
            <w:noWrap w:val="0"/>
            <w:vAlign w:val="center"/>
          </w:tcPr>
          <w:p w14:paraId="0B351ED8">
            <w:pPr>
              <w:keepNext w:val="0"/>
              <w:keepLines w:val="0"/>
              <w:pageBreakBefore w:val="0"/>
              <w:kinsoku/>
              <w:wordWrap/>
              <w:overflowPunct/>
              <w:topLinePunct w:val="0"/>
              <w:autoSpaceDE/>
              <w:autoSpaceDN/>
              <w:bidi w:val="0"/>
              <w:adjustRightInd/>
              <w:snapToGrid w:val="0"/>
              <w:spacing w:line="240" w:lineRule="atLeast"/>
              <w:jc w:val="left"/>
              <w:rPr>
                <w:rFonts w:ascii="Times New Roman" w:hAnsi="Times New Roman" w:eastAsia="宋体" w:cs="Times New Roman"/>
                <w:color w:val="auto"/>
              </w:rPr>
            </w:pPr>
          </w:p>
        </w:tc>
        <w:tc>
          <w:tcPr>
            <w:tcW w:w="2550" w:type="dxa"/>
            <w:gridSpan w:val="2"/>
            <w:tcBorders>
              <w:left w:val="single" w:color="auto" w:sz="4" w:space="0"/>
              <w:right w:val="single" w:color="auto" w:sz="4" w:space="0"/>
            </w:tcBorders>
            <w:noWrap w:val="0"/>
            <w:vAlign w:val="center"/>
          </w:tcPr>
          <w:p w14:paraId="5C11F73B">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color w:val="auto"/>
                <w:lang w:val="en-US" w:eastAsia="zh-CN"/>
              </w:rPr>
            </w:pPr>
            <w:r>
              <w:rPr>
                <w:rFonts w:hint="eastAsia" w:ascii="仿宋" w:hAnsi="仿宋" w:eastAsia="仿宋" w:cs="仿宋"/>
                <w:i w:val="0"/>
                <w:color w:val="auto"/>
                <w:kern w:val="0"/>
                <w:sz w:val="22"/>
                <w:szCs w:val="22"/>
                <w:highlight w:val="none"/>
                <w:u w:val="none"/>
                <w:lang w:val="en-US" w:eastAsia="zh-CN" w:bidi="ar"/>
              </w:rPr>
              <w:t>是否发生金融风险及重大违约事件</w:t>
            </w:r>
          </w:p>
        </w:tc>
        <w:tc>
          <w:tcPr>
            <w:tcW w:w="770" w:type="dxa"/>
            <w:tcBorders>
              <w:top w:val="single" w:color="auto" w:sz="4" w:space="0"/>
              <w:left w:val="single" w:color="auto" w:sz="4" w:space="0"/>
              <w:right w:val="single" w:color="auto" w:sz="4" w:space="0"/>
            </w:tcBorders>
            <w:noWrap w:val="0"/>
            <w:vAlign w:val="center"/>
          </w:tcPr>
          <w:p w14:paraId="36CB6645">
            <w:pPr>
              <w:keepNext w:val="0"/>
              <w:keepLines w:val="0"/>
              <w:pageBreakBefore w:val="0"/>
              <w:kinsoku/>
              <w:wordWrap/>
              <w:overflowPunct/>
              <w:topLinePunct w:val="0"/>
              <w:autoSpaceDE/>
              <w:autoSpaceDN/>
              <w:bidi w:val="0"/>
              <w:adjustRightInd/>
              <w:snapToGrid w:val="0"/>
              <w:spacing w:line="240" w:lineRule="atLeas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3630" w:type="dxa"/>
            <w:tcBorders>
              <w:left w:val="single" w:color="auto" w:sz="4" w:space="0"/>
              <w:right w:val="single" w:color="auto" w:sz="4" w:space="0"/>
            </w:tcBorders>
            <w:noWrap w:val="0"/>
            <w:vAlign w:val="center"/>
          </w:tcPr>
          <w:p w14:paraId="135B43CA">
            <w:pPr>
              <w:keepNext w:val="0"/>
              <w:keepLines w:val="0"/>
              <w:pageBreakBefore w:val="0"/>
              <w:kinsoku/>
              <w:wordWrap/>
              <w:overflowPunct/>
              <w:topLinePunct w:val="0"/>
              <w:autoSpaceDE/>
              <w:autoSpaceDN/>
              <w:bidi w:val="0"/>
              <w:adjustRightInd/>
              <w:snapToGrid w:val="0"/>
              <w:spacing w:line="240" w:lineRule="atLeast"/>
              <w:jc w:val="left"/>
              <w:rPr>
                <w:rFonts w:hint="eastAsia" w:ascii="仿宋" w:hAnsi="仿宋" w:eastAsia="仿宋" w:cs="仿宋"/>
                <w:i/>
                <w:iCs/>
                <w:color w:val="auto"/>
                <w:sz w:val="24"/>
                <w:szCs w:val="24"/>
                <w:highlight w:val="none"/>
                <w:lang w:val="en-US" w:eastAsia="zh-CN"/>
              </w:rPr>
            </w:pPr>
            <w:r>
              <w:rPr>
                <w:rFonts w:hint="eastAsia" w:ascii="仿宋" w:hAnsi="仿宋" w:eastAsia="仿宋" w:cs="仿宋"/>
                <w:i/>
                <w:iCs/>
                <w:color w:val="auto"/>
                <w:kern w:val="0"/>
                <w:sz w:val="22"/>
                <w:szCs w:val="22"/>
                <w:highlight w:val="none"/>
                <w:u w:val="none"/>
                <w:lang w:val="en-US" w:eastAsia="zh-CN" w:bidi="ar"/>
              </w:rPr>
              <w:t>参选银行</w:t>
            </w:r>
            <w:r>
              <w:rPr>
                <w:rFonts w:hint="eastAsia" w:ascii="仿宋" w:hAnsi="仿宋" w:eastAsia="仿宋" w:cs="仿宋"/>
                <w:i/>
                <w:iCs/>
                <w:color w:val="auto"/>
                <w:sz w:val="24"/>
                <w:szCs w:val="24"/>
                <w:highlight w:val="none"/>
                <w:lang w:val="en-US" w:eastAsia="zh-CN"/>
              </w:rPr>
              <w:t>提供承诺结合公开信息进行评分</w:t>
            </w:r>
          </w:p>
        </w:tc>
        <w:tc>
          <w:tcPr>
            <w:tcW w:w="5211" w:type="dxa"/>
            <w:vMerge w:val="continue"/>
            <w:tcBorders>
              <w:left w:val="single" w:color="auto" w:sz="4" w:space="0"/>
              <w:right w:val="single" w:color="auto" w:sz="4" w:space="0"/>
            </w:tcBorders>
            <w:noWrap w:val="0"/>
            <w:vAlign w:val="center"/>
          </w:tcPr>
          <w:p w14:paraId="07B5C23F">
            <w:pPr>
              <w:keepNext w:val="0"/>
              <w:keepLines w:val="0"/>
              <w:pageBreakBefore w:val="0"/>
              <w:kinsoku/>
              <w:wordWrap/>
              <w:overflowPunct/>
              <w:topLinePunct w:val="0"/>
              <w:autoSpaceDE/>
              <w:autoSpaceDN/>
              <w:bidi w:val="0"/>
              <w:adjustRightInd/>
              <w:snapToGrid w:val="0"/>
              <w:spacing w:line="240" w:lineRule="atLeast"/>
              <w:jc w:val="left"/>
              <w:rPr>
                <w:rFonts w:hint="default" w:ascii="仿宋" w:hAnsi="仿宋" w:eastAsia="仿宋" w:cs="仿宋"/>
                <w:color w:val="auto"/>
                <w:sz w:val="24"/>
                <w:szCs w:val="24"/>
                <w:highlight w:val="yellow"/>
                <w:lang w:val="en-US" w:eastAsia="zh-CN"/>
              </w:rPr>
            </w:pPr>
          </w:p>
        </w:tc>
      </w:tr>
      <w:tr w14:paraId="5D3C5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32" w:type="dxa"/>
            <w:vMerge w:val="continue"/>
            <w:tcBorders>
              <w:left w:val="single" w:color="auto" w:sz="4" w:space="0"/>
              <w:right w:val="single" w:color="auto" w:sz="4" w:space="0"/>
            </w:tcBorders>
            <w:noWrap w:val="0"/>
            <w:vAlign w:val="center"/>
          </w:tcPr>
          <w:p w14:paraId="11810CFB">
            <w:pPr>
              <w:keepNext w:val="0"/>
              <w:keepLines w:val="0"/>
              <w:pageBreakBefore w:val="0"/>
              <w:kinsoku/>
              <w:wordWrap/>
              <w:overflowPunct/>
              <w:topLinePunct w:val="0"/>
              <w:autoSpaceDE/>
              <w:autoSpaceDN/>
              <w:bidi w:val="0"/>
              <w:adjustRightInd/>
              <w:snapToGrid w:val="0"/>
              <w:spacing w:line="240" w:lineRule="atLeast"/>
              <w:jc w:val="left"/>
              <w:rPr>
                <w:rFonts w:hint="eastAsia" w:ascii="仿宋" w:hAnsi="仿宋" w:eastAsia="仿宋" w:cs="仿宋"/>
                <w:color w:val="auto"/>
                <w:sz w:val="24"/>
                <w:szCs w:val="24"/>
                <w:highlight w:val="none"/>
              </w:rPr>
            </w:pPr>
          </w:p>
        </w:tc>
        <w:tc>
          <w:tcPr>
            <w:tcW w:w="2550" w:type="dxa"/>
            <w:gridSpan w:val="2"/>
            <w:tcBorders>
              <w:left w:val="single" w:color="auto" w:sz="4" w:space="0"/>
              <w:right w:val="single" w:color="auto" w:sz="4" w:space="0"/>
            </w:tcBorders>
            <w:noWrap w:val="0"/>
            <w:vAlign w:val="center"/>
          </w:tcPr>
          <w:p w14:paraId="136C73BB">
            <w:pPr>
              <w:keepNext w:val="0"/>
              <w:keepLines w:val="0"/>
              <w:pageBreakBefore w:val="0"/>
              <w:kinsoku/>
              <w:wordWrap/>
              <w:overflowPunct/>
              <w:topLinePunct w:val="0"/>
              <w:autoSpaceDE/>
              <w:autoSpaceDN/>
              <w:bidi w:val="0"/>
              <w:adjustRightInd/>
              <w:snapToGrid w:val="0"/>
              <w:spacing w:line="240" w:lineRule="atLeast"/>
              <w:jc w:val="left"/>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财务状况实际否达到监管标准</w:t>
            </w:r>
          </w:p>
        </w:tc>
        <w:tc>
          <w:tcPr>
            <w:tcW w:w="770" w:type="dxa"/>
            <w:tcBorders>
              <w:top w:val="single" w:color="auto" w:sz="4" w:space="0"/>
              <w:left w:val="single" w:color="auto" w:sz="4" w:space="0"/>
              <w:right w:val="single" w:color="auto" w:sz="4" w:space="0"/>
            </w:tcBorders>
            <w:noWrap w:val="0"/>
            <w:vAlign w:val="center"/>
          </w:tcPr>
          <w:p w14:paraId="3F552D7A">
            <w:pPr>
              <w:keepNext w:val="0"/>
              <w:keepLines w:val="0"/>
              <w:pageBreakBefore w:val="0"/>
              <w:kinsoku/>
              <w:wordWrap/>
              <w:overflowPunct/>
              <w:topLinePunct w:val="0"/>
              <w:autoSpaceDE/>
              <w:autoSpaceDN/>
              <w:bidi w:val="0"/>
              <w:adjustRightInd/>
              <w:snapToGrid w:val="0"/>
              <w:spacing w:line="240" w:lineRule="atLeas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c>
          <w:tcPr>
            <w:tcW w:w="3630" w:type="dxa"/>
            <w:tcBorders>
              <w:left w:val="single" w:color="auto" w:sz="4" w:space="0"/>
              <w:right w:val="single" w:color="auto" w:sz="4" w:space="0"/>
            </w:tcBorders>
            <w:noWrap w:val="0"/>
            <w:vAlign w:val="center"/>
          </w:tcPr>
          <w:p w14:paraId="1533D687">
            <w:pPr>
              <w:keepNext w:val="0"/>
              <w:keepLines w:val="0"/>
              <w:pageBreakBefore w:val="0"/>
              <w:kinsoku/>
              <w:wordWrap/>
              <w:overflowPunct/>
              <w:topLinePunct w:val="0"/>
              <w:autoSpaceDE/>
              <w:autoSpaceDN/>
              <w:bidi w:val="0"/>
              <w:adjustRightInd/>
              <w:snapToGrid w:val="0"/>
              <w:spacing w:line="240" w:lineRule="atLeast"/>
              <w:jc w:val="left"/>
              <w:rPr>
                <w:rFonts w:hint="eastAsia" w:ascii="仿宋" w:hAnsi="仿宋" w:eastAsia="仿宋" w:cs="仿宋"/>
                <w:i/>
                <w:iCs/>
                <w:color w:val="auto"/>
                <w:kern w:val="0"/>
                <w:sz w:val="22"/>
                <w:szCs w:val="22"/>
                <w:highlight w:val="none"/>
                <w:u w:val="none"/>
                <w:lang w:val="en-US" w:eastAsia="zh-CN" w:bidi="ar"/>
              </w:rPr>
            </w:pPr>
            <w:r>
              <w:rPr>
                <w:rFonts w:hint="eastAsia" w:ascii="仿宋" w:hAnsi="仿宋" w:eastAsia="仿宋" w:cs="仿宋"/>
                <w:i/>
                <w:iCs/>
                <w:color w:val="auto"/>
                <w:kern w:val="0"/>
                <w:sz w:val="22"/>
                <w:szCs w:val="22"/>
                <w:highlight w:val="none"/>
                <w:u w:val="none"/>
                <w:lang w:val="en-US" w:eastAsia="zh-CN" w:bidi="ar"/>
              </w:rPr>
              <w:t>参选银行</w:t>
            </w:r>
            <w:r>
              <w:rPr>
                <w:rFonts w:hint="eastAsia" w:ascii="仿宋" w:hAnsi="仿宋" w:eastAsia="仿宋" w:cs="仿宋"/>
                <w:i/>
                <w:iCs/>
                <w:color w:val="auto"/>
                <w:sz w:val="24"/>
                <w:szCs w:val="24"/>
                <w:highlight w:val="none"/>
                <w:lang w:val="en-US" w:eastAsia="zh-CN"/>
              </w:rPr>
              <w:t>提供承诺结合公开信息进行评分</w:t>
            </w:r>
          </w:p>
        </w:tc>
        <w:tc>
          <w:tcPr>
            <w:tcW w:w="5211" w:type="dxa"/>
            <w:vMerge w:val="continue"/>
            <w:tcBorders>
              <w:left w:val="single" w:color="auto" w:sz="4" w:space="0"/>
              <w:right w:val="single" w:color="auto" w:sz="4" w:space="0"/>
            </w:tcBorders>
            <w:noWrap w:val="0"/>
            <w:vAlign w:val="center"/>
          </w:tcPr>
          <w:p w14:paraId="46AB70F7">
            <w:pPr>
              <w:keepNext w:val="0"/>
              <w:keepLines w:val="0"/>
              <w:pageBreakBefore w:val="0"/>
              <w:kinsoku/>
              <w:wordWrap/>
              <w:overflowPunct/>
              <w:topLinePunct w:val="0"/>
              <w:autoSpaceDE/>
              <w:autoSpaceDN/>
              <w:bidi w:val="0"/>
              <w:adjustRightInd/>
              <w:snapToGrid w:val="0"/>
              <w:spacing w:line="240" w:lineRule="atLeast"/>
              <w:jc w:val="left"/>
              <w:rPr>
                <w:rFonts w:hint="default" w:ascii="仿宋" w:hAnsi="仿宋" w:eastAsia="仿宋" w:cs="仿宋"/>
                <w:color w:val="auto"/>
                <w:sz w:val="24"/>
                <w:szCs w:val="24"/>
                <w:highlight w:val="yellow"/>
                <w:lang w:val="en-US" w:eastAsia="zh-CN"/>
              </w:rPr>
            </w:pPr>
          </w:p>
        </w:tc>
      </w:tr>
      <w:tr w14:paraId="424E9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32" w:type="dxa"/>
            <w:vMerge w:val="continue"/>
            <w:tcBorders>
              <w:left w:val="single" w:color="auto" w:sz="4" w:space="0"/>
              <w:right w:val="single" w:color="auto" w:sz="4" w:space="0"/>
            </w:tcBorders>
            <w:noWrap w:val="0"/>
            <w:vAlign w:val="center"/>
          </w:tcPr>
          <w:p w14:paraId="4BE1C9BD">
            <w:pPr>
              <w:keepNext w:val="0"/>
              <w:keepLines w:val="0"/>
              <w:pageBreakBefore w:val="0"/>
              <w:kinsoku/>
              <w:wordWrap/>
              <w:overflowPunct/>
              <w:topLinePunct w:val="0"/>
              <w:autoSpaceDE/>
              <w:autoSpaceDN/>
              <w:bidi w:val="0"/>
              <w:adjustRightInd/>
              <w:snapToGrid w:val="0"/>
              <w:spacing w:line="240" w:lineRule="atLeast"/>
              <w:jc w:val="left"/>
              <w:rPr>
                <w:rFonts w:ascii="Times New Roman" w:hAnsi="Times New Roman" w:eastAsia="宋体" w:cs="Times New Roman"/>
                <w:color w:val="auto"/>
              </w:rPr>
            </w:pPr>
          </w:p>
        </w:tc>
        <w:tc>
          <w:tcPr>
            <w:tcW w:w="2550" w:type="dxa"/>
            <w:gridSpan w:val="2"/>
            <w:tcBorders>
              <w:left w:val="single" w:color="auto" w:sz="4" w:space="0"/>
              <w:right w:val="single" w:color="auto" w:sz="4" w:space="0"/>
            </w:tcBorders>
            <w:noWrap w:val="0"/>
            <w:vAlign w:val="center"/>
          </w:tcPr>
          <w:p w14:paraId="7FA95AE5">
            <w:pPr>
              <w:keepNext w:val="0"/>
              <w:keepLines w:val="0"/>
              <w:pageBreakBefore w:val="0"/>
              <w:kinsoku/>
              <w:wordWrap/>
              <w:overflowPunct/>
              <w:topLinePunct w:val="0"/>
              <w:autoSpaceDE/>
              <w:autoSpaceDN/>
              <w:bidi w:val="0"/>
              <w:adjustRightInd/>
              <w:snapToGrid w:val="0"/>
              <w:spacing w:line="240" w:lineRule="atLeast"/>
              <w:jc w:val="left"/>
              <w:rPr>
                <w:rFonts w:ascii="Times New Roman" w:hAnsi="Times New Roman" w:eastAsia="宋体" w:cs="Times New Roman"/>
                <w:color w:val="auto"/>
              </w:rPr>
            </w:pPr>
            <w:r>
              <w:rPr>
                <w:rFonts w:hint="eastAsia" w:ascii="仿宋" w:hAnsi="仿宋" w:eastAsia="仿宋" w:cs="仿宋"/>
                <w:i w:val="0"/>
                <w:color w:val="auto"/>
                <w:kern w:val="0"/>
                <w:sz w:val="22"/>
                <w:szCs w:val="22"/>
                <w:highlight w:val="none"/>
                <w:u w:val="none"/>
                <w:lang w:val="en-US" w:eastAsia="zh-CN" w:bidi="ar"/>
              </w:rPr>
              <w:t>内部风险控制能力</w:t>
            </w:r>
          </w:p>
        </w:tc>
        <w:tc>
          <w:tcPr>
            <w:tcW w:w="770" w:type="dxa"/>
            <w:tcBorders>
              <w:top w:val="single" w:color="auto" w:sz="4" w:space="0"/>
              <w:left w:val="single" w:color="auto" w:sz="4" w:space="0"/>
              <w:right w:val="single" w:color="auto" w:sz="4" w:space="0"/>
            </w:tcBorders>
            <w:noWrap w:val="0"/>
            <w:vAlign w:val="center"/>
          </w:tcPr>
          <w:p w14:paraId="0BBAE2E2">
            <w:pPr>
              <w:keepNext w:val="0"/>
              <w:keepLines w:val="0"/>
              <w:pageBreakBefore w:val="0"/>
              <w:kinsoku/>
              <w:wordWrap/>
              <w:overflowPunct/>
              <w:topLinePunct w:val="0"/>
              <w:autoSpaceDE/>
              <w:autoSpaceDN/>
              <w:bidi w:val="0"/>
              <w:adjustRightInd/>
              <w:snapToGrid w:val="0"/>
              <w:spacing w:line="240" w:lineRule="atLeas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3630" w:type="dxa"/>
            <w:tcBorders>
              <w:left w:val="single" w:color="auto" w:sz="4" w:space="0"/>
              <w:right w:val="single" w:color="auto" w:sz="4" w:space="0"/>
            </w:tcBorders>
            <w:noWrap w:val="0"/>
            <w:vAlign w:val="center"/>
          </w:tcPr>
          <w:p w14:paraId="0819ED18">
            <w:pPr>
              <w:keepNext w:val="0"/>
              <w:keepLines w:val="0"/>
              <w:pageBreakBefore w:val="0"/>
              <w:kinsoku/>
              <w:wordWrap/>
              <w:overflowPunct/>
              <w:topLinePunct w:val="0"/>
              <w:autoSpaceDE/>
              <w:autoSpaceDN/>
              <w:bidi w:val="0"/>
              <w:adjustRightInd/>
              <w:snapToGrid w:val="0"/>
              <w:spacing w:line="240" w:lineRule="atLeast"/>
              <w:jc w:val="left"/>
              <w:rPr>
                <w:rFonts w:hint="eastAsia" w:ascii="仿宋" w:hAnsi="仿宋" w:eastAsia="仿宋" w:cs="仿宋"/>
                <w:i/>
                <w:iCs/>
                <w:color w:val="auto"/>
                <w:sz w:val="24"/>
                <w:szCs w:val="24"/>
                <w:highlight w:val="none"/>
                <w:lang w:val="en-US" w:eastAsia="zh-CN"/>
              </w:rPr>
            </w:pPr>
            <w:r>
              <w:rPr>
                <w:rFonts w:hint="eastAsia" w:ascii="仿宋" w:hAnsi="仿宋" w:eastAsia="仿宋" w:cs="仿宋"/>
                <w:i/>
                <w:iCs/>
                <w:color w:val="auto"/>
                <w:kern w:val="0"/>
                <w:sz w:val="22"/>
                <w:szCs w:val="22"/>
                <w:highlight w:val="none"/>
                <w:u w:val="none"/>
                <w:lang w:val="en-US" w:eastAsia="zh-CN" w:bidi="ar"/>
              </w:rPr>
              <w:t>参选银行</w:t>
            </w:r>
            <w:r>
              <w:rPr>
                <w:rFonts w:hint="eastAsia" w:ascii="仿宋" w:hAnsi="仿宋" w:eastAsia="仿宋" w:cs="仿宋"/>
                <w:i/>
                <w:iCs/>
                <w:color w:val="auto"/>
                <w:sz w:val="24"/>
                <w:szCs w:val="24"/>
                <w:highlight w:val="none"/>
                <w:lang w:val="en-US" w:eastAsia="zh-CN"/>
              </w:rPr>
              <w:t>提供承诺结合公开信息进行评分</w:t>
            </w:r>
          </w:p>
        </w:tc>
        <w:tc>
          <w:tcPr>
            <w:tcW w:w="5211" w:type="dxa"/>
            <w:vMerge w:val="continue"/>
            <w:tcBorders>
              <w:left w:val="single" w:color="auto" w:sz="4" w:space="0"/>
              <w:right w:val="single" w:color="auto" w:sz="4" w:space="0"/>
            </w:tcBorders>
            <w:noWrap w:val="0"/>
            <w:vAlign w:val="center"/>
          </w:tcPr>
          <w:p w14:paraId="42E67F86">
            <w:pPr>
              <w:keepNext w:val="0"/>
              <w:keepLines w:val="0"/>
              <w:pageBreakBefore w:val="0"/>
              <w:kinsoku/>
              <w:wordWrap/>
              <w:overflowPunct/>
              <w:topLinePunct w:val="0"/>
              <w:autoSpaceDE/>
              <w:autoSpaceDN/>
              <w:bidi w:val="0"/>
              <w:adjustRightInd/>
              <w:snapToGrid w:val="0"/>
              <w:spacing w:line="240" w:lineRule="atLeast"/>
              <w:jc w:val="left"/>
              <w:rPr>
                <w:rFonts w:hint="default" w:ascii="仿宋" w:hAnsi="仿宋" w:eastAsia="仿宋" w:cs="仿宋"/>
                <w:color w:val="auto"/>
                <w:sz w:val="24"/>
                <w:szCs w:val="24"/>
                <w:highlight w:val="yellow"/>
                <w:lang w:val="en-US" w:eastAsia="zh-CN"/>
              </w:rPr>
            </w:pPr>
          </w:p>
        </w:tc>
      </w:tr>
      <w:tr w14:paraId="6E99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332" w:type="dxa"/>
            <w:vMerge w:val="continue"/>
            <w:tcBorders>
              <w:left w:val="single" w:color="auto" w:sz="4" w:space="0"/>
              <w:right w:val="single" w:color="auto" w:sz="4" w:space="0"/>
            </w:tcBorders>
            <w:noWrap w:val="0"/>
            <w:vAlign w:val="center"/>
          </w:tcPr>
          <w:p w14:paraId="29A56379">
            <w:pPr>
              <w:keepNext w:val="0"/>
              <w:keepLines w:val="0"/>
              <w:pageBreakBefore w:val="0"/>
              <w:kinsoku/>
              <w:wordWrap/>
              <w:overflowPunct/>
              <w:topLinePunct w:val="0"/>
              <w:autoSpaceDE/>
              <w:autoSpaceDN/>
              <w:bidi w:val="0"/>
              <w:adjustRightInd/>
              <w:snapToGrid w:val="0"/>
              <w:spacing w:line="240" w:lineRule="atLeast"/>
              <w:jc w:val="left"/>
              <w:rPr>
                <w:rFonts w:ascii="Times New Roman" w:hAnsi="Times New Roman" w:eastAsia="宋体" w:cs="Times New Roman"/>
                <w:color w:val="auto"/>
              </w:rPr>
            </w:pPr>
          </w:p>
        </w:tc>
        <w:tc>
          <w:tcPr>
            <w:tcW w:w="2550" w:type="dxa"/>
            <w:gridSpan w:val="2"/>
            <w:tcBorders>
              <w:left w:val="single" w:color="auto" w:sz="4" w:space="0"/>
              <w:right w:val="single" w:color="auto" w:sz="4" w:space="0"/>
            </w:tcBorders>
            <w:noWrap w:val="0"/>
            <w:vAlign w:val="center"/>
          </w:tcPr>
          <w:p w14:paraId="7FC86CA3">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color w:val="auto"/>
                <w:lang w:val="en-US" w:eastAsia="zh-CN"/>
              </w:rPr>
            </w:pPr>
            <w:r>
              <w:rPr>
                <w:rFonts w:hint="eastAsia" w:ascii="仿宋" w:hAnsi="仿宋" w:eastAsia="仿宋" w:cs="仿宋"/>
                <w:i w:val="0"/>
                <w:color w:val="auto"/>
                <w:kern w:val="0"/>
                <w:sz w:val="22"/>
                <w:szCs w:val="22"/>
                <w:highlight w:val="none"/>
                <w:u w:val="none"/>
                <w:lang w:val="en-US" w:eastAsia="zh-CN" w:bidi="ar"/>
              </w:rPr>
              <w:t>人民银行评价</w:t>
            </w:r>
          </w:p>
        </w:tc>
        <w:tc>
          <w:tcPr>
            <w:tcW w:w="770" w:type="dxa"/>
            <w:tcBorders>
              <w:top w:val="single" w:color="auto" w:sz="4" w:space="0"/>
              <w:left w:val="single" w:color="auto" w:sz="4" w:space="0"/>
              <w:right w:val="single" w:color="auto" w:sz="4" w:space="0"/>
            </w:tcBorders>
            <w:noWrap w:val="0"/>
            <w:vAlign w:val="center"/>
          </w:tcPr>
          <w:p w14:paraId="2F5451EE">
            <w:pPr>
              <w:keepNext w:val="0"/>
              <w:keepLines w:val="0"/>
              <w:pageBreakBefore w:val="0"/>
              <w:kinsoku/>
              <w:wordWrap/>
              <w:overflowPunct/>
              <w:topLinePunct w:val="0"/>
              <w:autoSpaceDE/>
              <w:autoSpaceDN/>
              <w:bidi w:val="0"/>
              <w:adjustRightInd/>
              <w:snapToGrid w:val="0"/>
              <w:spacing w:line="240" w:lineRule="atLeas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3630" w:type="dxa"/>
            <w:tcBorders>
              <w:left w:val="single" w:color="auto" w:sz="4" w:space="0"/>
              <w:right w:val="single" w:color="auto" w:sz="4" w:space="0"/>
            </w:tcBorders>
            <w:noWrap w:val="0"/>
            <w:vAlign w:val="center"/>
          </w:tcPr>
          <w:p w14:paraId="4F75C0B1">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eastAsia" w:ascii="仿宋" w:hAnsi="仿宋" w:eastAsia="仿宋" w:cs="仿宋"/>
                <w:i/>
                <w:iCs/>
                <w:color w:val="auto"/>
                <w:kern w:val="2"/>
                <w:sz w:val="24"/>
                <w:szCs w:val="24"/>
                <w:highlight w:val="none"/>
                <w:lang w:val="en-US" w:eastAsia="zh-CN" w:bidi="ar-SA"/>
              </w:rPr>
            </w:pPr>
            <w:r>
              <w:rPr>
                <w:rFonts w:hint="eastAsia" w:ascii="仿宋" w:hAnsi="仿宋" w:eastAsia="仿宋" w:cs="仿宋"/>
                <w:i/>
                <w:iCs/>
                <w:color w:val="auto"/>
                <w:kern w:val="0"/>
                <w:sz w:val="22"/>
                <w:szCs w:val="22"/>
                <w:highlight w:val="none"/>
                <w:u w:val="none"/>
                <w:lang w:val="en-US" w:eastAsia="zh-CN" w:bidi="ar"/>
              </w:rPr>
              <w:t>2023年人民银行评价证明材料。</w:t>
            </w:r>
          </w:p>
        </w:tc>
        <w:tc>
          <w:tcPr>
            <w:tcW w:w="5211" w:type="dxa"/>
            <w:tcBorders>
              <w:left w:val="single" w:color="auto" w:sz="4" w:space="0"/>
              <w:right w:val="single" w:color="auto" w:sz="4" w:space="0"/>
            </w:tcBorders>
            <w:noWrap w:val="0"/>
            <w:vAlign w:val="center"/>
          </w:tcPr>
          <w:p w14:paraId="5CEBD396">
            <w:pPr>
              <w:keepNext w:val="0"/>
              <w:keepLines w:val="0"/>
              <w:pageBreakBefore w:val="0"/>
              <w:kinsoku/>
              <w:wordWrap/>
              <w:overflowPunct/>
              <w:topLinePunct w:val="0"/>
              <w:autoSpaceDE/>
              <w:autoSpaceDN/>
              <w:bidi w:val="0"/>
              <w:adjustRightInd/>
              <w:snapToGrid w:val="0"/>
              <w:spacing w:line="240" w:lineRule="atLeas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根据成都人行评价打分，A等4分，B等3分。依次类推</w:t>
            </w:r>
          </w:p>
        </w:tc>
      </w:tr>
      <w:tr w14:paraId="67D9C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332" w:type="dxa"/>
            <w:vMerge w:val="restart"/>
            <w:tcBorders>
              <w:top w:val="single" w:color="auto" w:sz="4" w:space="0"/>
              <w:left w:val="single" w:color="auto" w:sz="4" w:space="0"/>
              <w:right w:val="single" w:color="auto" w:sz="4" w:space="0"/>
            </w:tcBorders>
            <w:noWrap w:val="0"/>
            <w:vAlign w:val="center"/>
          </w:tcPr>
          <w:p w14:paraId="35EB7C5F">
            <w:pPr>
              <w:keepNext w:val="0"/>
              <w:keepLines w:val="0"/>
              <w:pageBreakBefore w:val="0"/>
              <w:kinsoku/>
              <w:wordWrap/>
              <w:overflowPunct/>
              <w:topLinePunct w:val="0"/>
              <w:autoSpaceDE/>
              <w:autoSpaceDN/>
              <w:bidi w:val="0"/>
              <w:adjustRightInd/>
              <w:snapToGrid w:val="0"/>
              <w:spacing w:line="240" w:lineRule="atLeas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自选指标</w:t>
            </w:r>
          </w:p>
          <w:p w14:paraId="1179D634">
            <w:pPr>
              <w:keepNext w:val="0"/>
              <w:keepLines w:val="0"/>
              <w:pageBreakBefore w:val="0"/>
              <w:kinsoku/>
              <w:wordWrap/>
              <w:overflowPunct/>
              <w:topLinePunct w:val="0"/>
              <w:autoSpaceDE/>
              <w:autoSpaceDN/>
              <w:bidi w:val="0"/>
              <w:adjustRightInd/>
              <w:snapToGrid w:val="0"/>
              <w:spacing w:line="240" w:lineRule="atLeas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40分</w:t>
            </w:r>
          </w:p>
        </w:tc>
        <w:tc>
          <w:tcPr>
            <w:tcW w:w="362" w:type="dxa"/>
            <w:vMerge w:val="restart"/>
            <w:tcBorders>
              <w:top w:val="single" w:color="auto" w:sz="4" w:space="0"/>
              <w:left w:val="single" w:color="auto" w:sz="4" w:space="0"/>
              <w:right w:val="single" w:color="auto" w:sz="4" w:space="0"/>
            </w:tcBorders>
            <w:noWrap w:val="0"/>
            <w:vAlign w:val="center"/>
          </w:tcPr>
          <w:p w14:paraId="68BD87CE">
            <w:pPr>
              <w:keepNext w:val="0"/>
              <w:keepLines w:val="0"/>
              <w:pageBreakBefore w:val="0"/>
              <w:kinsoku/>
              <w:wordWrap/>
              <w:overflowPunct/>
              <w:topLinePunct w:val="0"/>
              <w:autoSpaceDE/>
              <w:autoSpaceDN/>
              <w:bidi w:val="0"/>
              <w:adjustRightInd/>
              <w:snapToGrid w:val="0"/>
              <w:spacing w:line="240" w:lineRule="atLeast"/>
              <w:jc w:val="left"/>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贡献度</w:t>
            </w:r>
          </w:p>
        </w:tc>
        <w:tc>
          <w:tcPr>
            <w:tcW w:w="2188" w:type="dxa"/>
            <w:tcBorders>
              <w:top w:val="single" w:color="auto" w:sz="4" w:space="0"/>
              <w:left w:val="single" w:color="auto" w:sz="4" w:space="0"/>
              <w:right w:val="single" w:color="auto" w:sz="4" w:space="0"/>
            </w:tcBorders>
            <w:noWrap w:val="0"/>
            <w:vAlign w:val="center"/>
          </w:tcPr>
          <w:p w14:paraId="5026278E">
            <w:pPr>
              <w:keepNext w:val="0"/>
              <w:keepLines w:val="0"/>
              <w:pageBreakBefore w:val="0"/>
              <w:kinsoku/>
              <w:wordWrap/>
              <w:overflowPunct/>
              <w:topLinePunct w:val="0"/>
              <w:autoSpaceDE/>
              <w:autoSpaceDN/>
              <w:bidi w:val="0"/>
              <w:adjustRightInd/>
              <w:snapToGrid w:val="0"/>
              <w:spacing w:line="240" w:lineRule="atLeast"/>
              <w:jc w:val="left"/>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参选银行2024年对青白江区小微企业贷款合计</w:t>
            </w:r>
          </w:p>
        </w:tc>
        <w:tc>
          <w:tcPr>
            <w:tcW w:w="770" w:type="dxa"/>
            <w:tcBorders>
              <w:top w:val="single" w:color="auto" w:sz="4" w:space="0"/>
              <w:left w:val="single" w:color="auto" w:sz="4" w:space="0"/>
              <w:right w:val="single" w:color="auto" w:sz="4" w:space="0"/>
            </w:tcBorders>
            <w:noWrap w:val="0"/>
            <w:vAlign w:val="center"/>
          </w:tcPr>
          <w:p w14:paraId="314B4D63">
            <w:pPr>
              <w:keepNext w:val="0"/>
              <w:keepLines w:val="0"/>
              <w:pageBreakBefore w:val="0"/>
              <w:kinsoku/>
              <w:wordWrap/>
              <w:overflowPunct/>
              <w:topLinePunct w:val="0"/>
              <w:autoSpaceDE/>
              <w:autoSpaceDN/>
              <w:bidi w:val="0"/>
              <w:adjustRightInd/>
              <w:snapToGrid w:val="0"/>
              <w:spacing w:line="240" w:lineRule="atLeast"/>
              <w:jc w:val="lef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10分</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66FE72E6">
            <w:pPr>
              <w:keepNext w:val="0"/>
              <w:keepLines w:val="0"/>
              <w:pageBreakBefore w:val="0"/>
              <w:kinsoku/>
              <w:wordWrap/>
              <w:overflowPunct/>
              <w:topLinePunct w:val="0"/>
              <w:autoSpaceDE/>
              <w:autoSpaceDN/>
              <w:bidi w:val="0"/>
              <w:adjustRightInd/>
              <w:snapToGrid w:val="0"/>
              <w:spacing w:line="240" w:lineRule="atLeast"/>
              <w:jc w:val="left"/>
              <w:rPr>
                <w:rFonts w:hint="eastAsia" w:ascii="仿宋" w:hAnsi="仿宋" w:eastAsia="仿宋" w:cs="仿宋"/>
                <w:i/>
                <w:iCs/>
                <w:color w:val="auto"/>
                <w:sz w:val="24"/>
                <w:szCs w:val="24"/>
                <w:highlight w:val="none"/>
                <w:lang w:val="en-US" w:eastAsia="zh-CN" w:bidi="ar-SA"/>
              </w:rPr>
            </w:pPr>
            <w:r>
              <w:rPr>
                <w:rFonts w:hint="eastAsia" w:ascii="仿宋" w:hAnsi="仿宋" w:eastAsia="仿宋" w:cs="仿宋"/>
                <w:i/>
                <w:iCs/>
                <w:color w:val="auto"/>
                <w:sz w:val="24"/>
                <w:szCs w:val="24"/>
                <w:highlight w:val="none"/>
                <w:lang w:val="en-US" w:eastAsia="zh-CN" w:bidi="ar-SA"/>
              </w:rPr>
              <w:t>参选银行提供数据</w:t>
            </w:r>
          </w:p>
        </w:tc>
        <w:tc>
          <w:tcPr>
            <w:tcW w:w="5211" w:type="dxa"/>
            <w:vMerge w:val="restart"/>
            <w:tcBorders>
              <w:top w:val="single" w:color="auto" w:sz="4" w:space="0"/>
              <w:left w:val="single" w:color="auto" w:sz="4" w:space="0"/>
              <w:right w:val="single" w:color="auto" w:sz="4" w:space="0"/>
            </w:tcBorders>
            <w:noWrap w:val="0"/>
            <w:vAlign w:val="center"/>
          </w:tcPr>
          <w:p w14:paraId="0650EBD4">
            <w:pPr>
              <w:keepNext w:val="0"/>
              <w:keepLines w:val="0"/>
              <w:pageBreakBefore w:val="0"/>
              <w:kinsoku/>
              <w:wordWrap/>
              <w:overflowPunct/>
              <w:topLinePunct w:val="0"/>
              <w:autoSpaceDE/>
              <w:autoSpaceDN/>
              <w:bidi w:val="0"/>
              <w:adjustRightInd/>
              <w:snapToGrid w:val="0"/>
              <w:spacing w:line="240" w:lineRule="atLeast"/>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指标得分=（参选行</w:t>
            </w:r>
            <w:r>
              <w:rPr>
                <w:rFonts w:hint="eastAsia" w:ascii="仿宋" w:hAnsi="仿宋" w:eastAsia="仿宋" w:cs="仿宋"/>
                <w:color w:val="auto"/>
                <w:sz w:val="24"/>
                <w:szCs w:val="24"/>
                <w:highlight w:val="none"/>
                <w:lang w:val="en-US" w:eastAsia="zh-CN"/>
              </w:rPr>
              <w:t>本</w:t>
            </w:r>
            <w:r>
              <w:rPr>
                <w:rFonts w:hint="default" w:ascii="仿宋" w:hAnsi="仿宋" w:eastAsia="仿宋" w:cs="仿宋"/>
                <w:color w:val="auto"/>
                <w:sz w:val="24"/>
                <w:szCs w:val="24"/>
                <w:highlight w:val="none"/>
                <w:lang w:val="en-US" w:eastAsia="zh-CN"/>
              </w:rPr>
              <w:t>项指标数值/所有参评银行在本指标中的最大值）×该项指标分值。</w:t>
            </w:r>
          </w:p>
        </w:tc>
      </w:tr>
      <w:tr w14:paraId="13BF4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332" w:type="dxa"/>
            <w:vMerge w:val="continue"/>
            <w:tcBorders>
              <w:left w:val="single" w:color="auto" w:sz="4" w:space="0"/>
              <w:right w:val="single" w:color="auto" w:sz="4" w:space="0"/>
            </w:tcBorders>
            <w:noWrap w:val="0"/>
            <w:vAlign w:val="center"/>
          </w:tcPr>
          <w:p w14:paraId="77A11CFA">
            <w:pPr>
              <w:keepNext w:val="0"/>
              <w:keepLines w:val="0"/>
              <w:pageBreakBefore w:val="0"/>
              <w:kinsoku/>
              <w:wordWrap/>
              <w:overflowPunct/>
              <w:topLinePunct w:val="0"/>
              <w:autoSpaceDE/>
              <w:autoSpaceDN/>
              <w:bidi w:val="0"/>
              <w:adjustRightInd/>
              <w:snapToGrid w:val="0"/>
              <w:spacing w:line="240" w:lineRule="atLeast"/>
              <w:jc w:val="left"/>
              <w:rPr>
                <w:rFonts w:hint="eastAsia" w:ascii="仿宋" w:hAnsi="仿宋" w:eastAsia="仿宋" w:cs="仿宋"/>
                <w:color w:val="auto"/>
                <w:sz w:val="24"/>
                <w:szCs w:val="24"/>
                <w:highlight w:val="none"/>
              </w:rPr>
            </w:pPr>
          </w:p>
        </w:tc>
        <w:tc>
          <w:tcPr>
            <w:tcW w:w="362" w:type="dxa"/>
            <w:vMerge w:val="continue"/>
            <w:tcBorders>
              <w:left w:val="single" w:color="auto" w:sz="4" w:space="0"/>
              <w:bottom w:val="single" w:color="auto" w:sz="4" w:space="0"/>
              <w:right w:val="single" w:color="auto" w:sz="4" w:space="0"/>
            </w:tcBorders>
            <w:noWrap w:val="0"/>
            <w:vAlign w:val="center"/>
          </w:tcPr>
          <w:p w14:paraId="3C31A354">
            <w:pPr>
              <w:keepNext w:val="0"/>
              <w:keepLines w:val="0"/>
              <w:pageBreakBefore w:val="0"/>
              <w:kinsoku/>
              <w:wordWrap/>
              <w:overflowPunct/>
              <w:topLinePunct w:val="0"/>
              <w:autoSpaceDE/>
              <w:autoSpaceDN/>
              <w:bidi w:val="0"/>
              <w:adjustRightInd/>
              <w:snapToGrid w:val="0"/>
              <w:spacing w:line="240" w:lineRule="atLeast"/>
              <w:jc w:val="left"/>
              <w:rPr>
                <w:rFonts w:hint="eastAsia" w:ascii="仿宋" w:hAnsi="仿宋" w:eastAsia="仿宋" w:cs="仿宋"/>
                <w:color w:val="auto"/>
                <w:sz w:val="24"/>
                <w:szCs w:val="24"/>
                <w:highlight w:val="none"/>
                <w:lang w:val="en-US" w:eastAsia="zh-CN"/>
              </w:rPr>
            </w:pPr>
          </w:p>
        </w:tc>
        <w:tc>
          <w:tcPr>
            <w:tcW w:w="2188" w:type="dxa"/>
            <w:tcBorders>
              <w:left w:val="single" w:color="auto" w:sz="4" w:space="0"/>
              <w:bottom w:val="single" w:color="auto" w:sz="4" w:space="0"/>
              <w:right w:val="single" w:color="auto" w:sz="4" w:space="0"/>
            </w:tcBorders>
            <w:noWrap w:val="0"/>
            <w:vAlign w:val="center"/>
          </w:tcPr>
          <w:p w14:paraId="583C9291">
            <w:pPr>
              <w:keepNext w:val="0"/>
              <w:keepLines w:val="0"/>
              <w:pageBreakBefore w:val="0"/>
              <w:kinsoku/>
              <w:wordWrap/>
              <w:overflowPunct/>
              <w:topLinePunct w:val="0"/>
              <w:autoSpaceDE/>
              <w:autoSpaceDN/>
              <w:bidi w:val="0"/>
              <w:adjustRightInd/>
              <w:snapToGrid w:val="0"/>
              <w:spacing w:line="240" w:lineRule="atLeas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bidi="ar-SA"/>
              </w:rPr>
              <w:t>参选银行2024年对青白江区三农贷款合计</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254F8B57">
            <w:pPr>
              <w:keepNext w:val="0"/>
              <w:keepLines w:val="0"/>
              <w:pageBreakBefore w:val="0"/>
              <w:kinsoku/>
              <w:wordWrap/>
              <w:overflowPunct/>
              <w:topLinePunct w:val="0"/>
              <w:autoSpaceDE/>
              <w:autoSpaceDN/>
              <w:bidi w:val="0"/>
              <w:adjustRightInd/>
              <w:snapToGrid w:val="0"/>
              <w:spacing w:line="240" w:lineRule="atLeas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10分</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35C7C2E5">
            <w:pPr>
              <w:keepNext w:val="0"/>
              <w:keepLines w:val="0"/>
              <w:pageBreakBefore w:val="0"/>
              <w:kinsoku/>
              <w:wordWrap/>
              <w:overflowPunct/>
              <w:topLinePunct w:val="0"/>
              <w:autoSpaceDE/>
              <w:autoSpaceDN/>
              <w:bidi w:val="0"/>
              <w:adjustRightInd/>
              <w:snapToGrid w:val="0"/>
              <w:spacing w:line="240" w:lineRule="atLeast"/>
              <w:jc w:val="left"/>
              <w:rPr>
                <w:rFonts w:hint="eastAsia" w:ascii="仿宋" w:hAnsi="仿宋" w:eastAsia="仿宋" w:cs="仿宋"/>
                <w:i/>
                <w:iCs/>
                <w:color w:val="auto"/>
                <w:sz w:val="24"/>
                <w:szCs w:val="24"/>
                <w:highlight w:val="none"/>
              </w:rPr>
            </w:pPr>
            <w:r>
              <w:rPr>
                <w:rFonts w:hint="eastAsia" w:ascii="仿宋" w:hAnsi="仿宋" w:eastAsia="仿宋" w:cs="仿宋"/>
                <w:i/>
                <w:iCs/>
                <w:color w:val="auto"/>
                <w:sz w:val="24"/>
                <w:szCs w:val="24"/>
                <w:highlight w:val="none"/>
                <w:lang w:val="en-US" w:eastAsia="zh-CN" w:bidi="ar-SA"/>
              </w:rPr>
              <w:t>参选银行提供数据</w:t>
            </w:r>
          </w:p>
        </w:tc>
        <w:tc>
          <w:tcPr>
            <w:tcW w:w="5211" w:type="dxa"/>
            <w:vMerge w:val="continue"/>
            <w:tcBorders>
              <w:left w:val="single" w:color="auto" w:sz="4" w:space="0"/>
              <w:right w:val="single" w:color="auto" w:sz="4" w:space="0"/>
            </w:tcBorders>
            <w:noWrap w:val="0"/>
            <w:vAlign w:val="center"/>
          </w:tcPr>
          <w:p w14:paraId="4F34307E">
            <w:pPr>
              <w:keepNext w:val="0"/>
              <w:keepLines w:val="0"/>
              <w:pageBreakBefore w:val="0"/>
              <w:kinsoku/>
              <w:wordWrap/>
              <w:overflowPunct/>
              <w:topLinePunct w:val="0"/>
              <w:autoSpaceDE/>
              <w:autoSpaceDN/>
              <w:bidi w:val="0"/>
              <w:adjustRightInd/>
              <w:snapToGrid w:val="0"/>
              <w:spacing w:line="240" w:lineRule="atLeast"/>
              <w:jc w:val="left"/>
              <w:rPr>
                <w:rFonts w:hint="default" w:ascii="仿宋" w:hAnsi="仿宋" w:eastAsia="仿宋" w:cs="仿宋"/>
                <w:color w:val="auto"/>
                <w:sz w:val="24"/>
                <w:szCs w:val="24"/>
                <w:highlight w:val="none"/>
                <w:lang w:val="en-US" w:eastAsia="zh-CN"/>
              </w:rPr>
            </w:pPr>
          </w:p>
        </w:tc>
      </w:tr>
      <w:tr w14:paraId="102B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332" w:type="dxa"/>
            <w:vMerge w:val="continue"/>
            <w:tcBorders>
              <w:left w:val="single" w:color="auto" w:sz="4" w:space="0"/>
              <w:right w:val="single" w:color="auto" w:sz="4" w:space="0"/>
            </w:tcBorders>
            <w:noWrap w:val="0"/>
            <w:vAlign w:val="center"/>
          </w:tcPr>
          <w:p w14:paraId="16E98A1F">
            <w:pPr>
              <w:keepNext w:val="0"/>
              <w:keepLines w:val="0"/>
              <w:pageBreakBefore w:val="0"/>
              <w:kinsoku/>
              <w:wordWrap/>
              <w:overflowPunct/>
              <w:topLinePunct w:val="0"/>
              <w:autoSpaceDE/>
              <w:autoSpaceDN/>
              <w:bidi w:val="0"/>
              <w:adjustRightInd/>
              <w:snapToGrid w:val="0"/>
              <w:spacing w:line="240" w:lineRule="atLeast"/>
              <w:jc w:val="left"/>
              <w:rPr>
                <w:rFonts w:hint="eastAsia" w:ascii="仿宋" w:hAnsi="仿宋" w:eastAsia="仿宋" w:cs="仿宋"/>
                <w:color w:val="auto"/>
                <w:sz w:val="24"/>
                <w:szCs w:val="24"/>
                <w:highlight w:val="none"/>
              </w:rPr>
            </w:pPr>
          </w:p>
        </w:tc>
        <w:tc>
          <w:tcPr>
            <w:tcW w:w="2550" w:type="dxa"/>
            <w:gridSpan w:val="2"/>
            <w:tcBorders>
              <w:top w:val="single" w:color="auto" w:sz="4" w:space="0"/>
              <w:left w:val="single" w:color="auto" w:sz="4" w:space="0"/>
              <w:bottom w:val="single" w:color="auto" w:sz="4" w:space="0"/>
              <w:right w:val="single" w:color="auto" w:sz="4" w:space="0"/>
            </w:tcBorders>
            <w:noWrap w:val="0"/>
            <w:vAlign w:val="center"/>
          </w:tcPr>
          <w:p w14:paraId="53D17499">
            <w:pPr>
              <w:keepNext w:val="0"/>
              <w:keepLines w:val="0"/>
              <w:pageBreakBefore w:val="0"/>
              <w:kinsoku/>
              <w:wordWrap/>
              <w:overflowPunct/>
              <w:topLinePunct w:val="0"/>
              <w:autoSpaceDE/>
              <w:autoSpaceDN/>
              <w:bidi w:val="0"/>
              <w:adjustRightInd/>
              <w:snapToGrid w:val="0"/>
              <w:spacing w:line="240" w:lineRule="atLeast"/>
              <w:jc w:val="lef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lang w:eastAsia="zh-CN"/>
              </w:rPr>
              <w:t>水平</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C1B4FF8">
            <w:pPr>
              <w:keepNext w:val="0"/>
              <w:keepLines w:val="0"/>
              <w:pageBreakBefore w:val="0"/>
              <w:kinsoku/>
              <w:wordWrap/>
              <w:overflowPunct/>
              <w:topLinePunct w:val="0"/>
              <w:autoSpaceDE/>
              <w:autoSpaceDN/>
              <w:bidi w:val="0"/>
              <w:adjustRightInd/>
              <w:snapToGrid w:val="0"/>
              <w:spacing w:line="240" w:lineRule="atLeast"/>
              <w:jc w:val="lef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7分</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2FECF69C">
            <w:pPr>
              <w:snapToGrid w:val="0"/>
              <w:spacing w:line="240" w:lineRule="atLeast"/>
              <w:jc w:val="left"/>
              <w:rPr>
                <w:rFonts w:hint="eastAsia" w:ascii="仿宋" w:hAnsi="仿宋" w:eastAsia="仿宋" w:cs="仿宋"/>
                <w:i/>
                <w:iCs/>
                <w:color w:val="auto"/>
                <w:sz w:val="24"/>
                <w:szCs w:val="24"/>
                <w:highlight w:val="none"/>
                <w:lang w:val="en-US" w:eastAsia="zh-CN" w:bidi="ar-SA"/>
              </w:rPr>
            </w:pPr>
            <w:r>
              <w:rPr>
                <w:rFonts w:hint="eastAsia" w:ascii="仿宋" w:hAnsi="仿宋" w:eastAsia="仿宋" w:cs="仿宋"/>
                <w:i/>
                <w:iCs/>
                <w:sz w:val="24"/>
                <w:lang w:val="en-US" w:eastAsia="zh-CN"/>
              </w:rPr>
              <w:t>智慧食堂</w:t>
            </w:r>
            <w:r>
              <w:rPr>
                <w:rFonts w:hint="eastAsia" w:ascii="仿宋" w:hAnsi="仿宋" w:eastAsia="仿宋" w:cs="仿宋"/>
                <w:i/>
                <w:iCs/>
                <w:sz w:val="24"/>
              </w:rPr>
              <w:t>服务方案。根据参与银行针对本项目涉及支付结算、对账、分账核算、内控制度、组织管理、管理水平等指标进行综合评审</w:t>
            </w:r>
            <w:r>
              <w:rPr>
                <w:rFonts w:hint="eastAsia" w:ascii="仿宋" w:hAnsi="仿宋" w:eastAsia="仿宋" w:cs="仿宋"/>
                <w:i/>
                <w:iCs/>
                <w:sz w:val="24"/>
                <w:lang w:val="en-US" w:eastAsia="zh-CN"/>
              </w:rPr>
              <w:t>。</w:t>
            </w:r>
            <w:bookmarkStart w:id="0" w:name="_GoBack"/>
            <w:bookmarkEnd w:id="0"/>
          </w:p>
        </w:tc>
        <w:tc>
          <w:tcPr>
            <w:tcW w:w="5211" w:type="dxa"/>
            <w:tcBorders>
              <w:left w:val="single" w:color="auto" w:sz="4" w:space="0"/>
              <w:right w:val="single" w:color="auto" w:sz="4" w:space="0"/>
            </w:tcBorders>
            <w:noWrap w:val="0"/>
            <w:vAlign w:val="center"/>
          </w:tcPr>
          <w:p w14:paraId="3117E61C">
            <w:pPr>
              <w:snapToGrid w:val="0"/>
              <w:spacing w:line="240" w:lineRule="atLeast"/>
              <w:jc w:val="left"/>
              <w:rPr>
                <w:rFonts w:hint="default" w:ascii="仿宋" w:hAnsi="仿宋" w:eastAsia="仿宋" w:cs="仿宋"/>
                <w:color w:val="auto"/>
                <w:sz w:val="24"/>
                <w:szCs w:val="24"/>
                <w:highlight w:val="none"/>
                <w:lang w:val="en-US" w:eastAsia="zh-CN"/>
              </w:rPr>
            </w:pPr>
            <w:r>
              <w:rPr>
                <w:rFonts w:hint="eastAsia" w:ascii="仿宋" w:hAnsi="仿宋" w:eastAsia="仿宋" w:cs="仿宋"/>
                <w:sz w:val="24"/>
              </w:rPr>
              <w:t>提供服务方案。服务方案科学合理，</w:t>
            </w:r>
            <w:r>
              <w:rPr>
                <w:rFonts w:hint="eastAsia" w:ascii="仿宋" w:hAnsi="仿宋" w:eastAsia="仿宋" w:cs="仿宋"/>
                <w:sz w:val="24"/>
                <w:lang w:val="en-US" w:eastAsia="zh-CN"/>
              </w:rPr>
              <w:t>智慧食堂</w:t>
            </w:r>
            <w:r>
              <w:rPr>
                <w:rFonts w:hint="eastAsia" w:ascii="仿宋" w:hAnsi="仿宋" w:eastAsia="仿宋" w:cs="仿宋"/>
                <w:sz w:val="24"/>
              </w:rPr>
              <w:t>资金安全保障方案完整、内控制度完善周密，组织管理制度详尽合理，管理水平高效，风险控制能力有效强劲等方面综合评审优得</w:t>
            </w:r>
            <w:r>
              <w:rPr>
                <w:rFonts w:hint="eastAsia" w:ascii="仿宋" w:hAnsi="仿宋" w:eastAsia="仿宋" w:cs="仿宋"/>
                <w:sz w:val="24"/>
                <w:lang w:val="en-US" w:eastAsia="zh-CN"/>
              </w:rPr>
              <w:t>7</w:t>
            </w:r>
            <w:r>
              <w:rPr>
                <w:rFonts w:hint="eastAsia" w:ascii="仿宋" w:hAnsi="仿宋" w:eastAsia="仿宋" w:cs="仿宋"/>
                <w:sz w:val="24"/>
              </w:rPr>
              <w:t>分，良得</w:t>
            </w:r>
            <w:r>
              <w:rPr>
                <w:rFonts w:hint="eastAsia" w:ascii="仿宋" w:hAnsi="仿宋" w:eastAsia="仿宋" w:cs="仿宋"/>
                <w:sz w:val="24"/>
                <w:lang w:val="en-US" w:eastAsia="zh-CN"/>
              </w:rPr>
              <w:t>5</w:t>
            </w:r>
            <w:r>
              <w:rPr>
                <w:rFonts w:hint="eastAsia" w:ascii="仿宋" w:hAnsi="仿宋" w:eastAsia="仿宋" w:cs="仿宋"/>
                <w:sz w:val="24"/>
              </w:rPr>
              <w:t>分，中得</w:t>
            </w:r>
            <w:r>
              <w:rPr>
                <w:rFonts w:hint="eastAsia" w:ascii="仿宋" w:hAnsi="仿宋" w:eastAsia="仿宋" w:cs="仿宋"/>
                <w:sz w:val="24"/>
                <w:lang w:val="en-US" w:eastAsia="zh-CN"/>
              </w:rPr>
              <w:t>3</w:t>
            </w:r>
            <w:r>
              <w:rPr>
                <w:rFonts w:hint="eastAsia" w:ascii="仿宋" w:hAnsi="仿宋" w:eastAsia="仿宋" w:cs="仿宋"/>
                <w:sz w:val="24"/>
              </w:rPr>
              <w:t>分，其余情况不得分。）</w:t>
            </w:r>
          </w:p>
        </w:tc>
      </w:tr>
      <w:tr w14:paraId="47339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332" w:type="dxa"/>
            <w:vMerge w:val="continue"/>
            <w:tcBorders>
              <w:left w:val="single" w:color="auto" w:sz="4" w:space="0"/>
              <w:right w:val="single" w:color="auto" w:sz="4" w:space="0"/>
            </w:tcBorders>
            <w:noWrap w:val="0"/>
            <w:vAlign w:val="center"/>
          </w:tcPr>
          <w:p w14:paraId="34F17E63">
            <w:pPr>
              <w:keepNext w:val="0"/>
              <w:keepLines w:val="0"/>
              <w:pageBreakBefore w:val="0"/>
              <w:kinsoku/>
              <w:wordWrap/>
              <w:overflowPunct/>
              <w:topLinePunct w:val="0"/>
              <w:autoSpaceDE/>
              <w:autoSpaceDN/>
              <w:bidi w:val="0"/>
              <w:adjustRightInd/>
              <w:snapToGrid w:val="0"/>
              <w:spacing w:line="240" w:lineRule="atLeast"/>
              <w:jc w:val="left"/>
              <w:rPr>
                <w:rFonts w:hint="eastAsia" w:ascii="仿宋" w:hAnsi="仿宋" w:eastAsia="仿宋" w:cs="仿宋"/>
                <w:color w:val="auto"/>
                <w:sz w:val="24"/>
                <w:szCs w:val="24"/>
                <w:highlight w:val="none"/>
              </w:rPr>
            </w:pPr>
          </w:p>
        </w:tc>
        <w:tc>
          <w:tcPr>
            <w:tcW w:w="2550" w:type="dxa"/>
            <w:gridSpan w:val="2"/>
            <w:tcBorders>
              <w:top w:val="single" w:color="auto" w:sz="4" w:space="0"/>
              <w:left w:val="single" w:color="auto" w:sz="4" w:space="0"/>
              <w:bottom w:val="single" w:color="auto" w:sz="4" w:space="0"/>
              <w:right w:val="single" w:color="auto" w:sz="4" w:space="0"/>
            </w:tcBorders>
            <w:noWrap w:val="0"/>
            <w:vAlign w:val="center"/>
          </w:tcPr>
          <w:p w14:paraId="3913E9BC">
            <w:pPr>
              <w:keepNext w:val="0"/>
              <w:keepLines w:val="0"/>
              <w:pageBreakBefore w:val="0"/>
              <w:kinsoku/>
              <w:wordWrap/>
              <w:overflowPunct/>
              <w:topLinePunct w:val="0"/>
              <w:autoSpaceDE/>
              <w:autoSpaceDN/>
              <w:bidi w:val="0"/>
              <w:adjustRightInd/>
              <w:snapToGrid w:val="0"/>
              <w:spacing w:line="240" w:lineRule="atLeas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利率水平</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69FAA90">
            <w:pPr>
              <w:keepNext w:val="0"/>
              <w:keepLines w:val="0"/>
              <w:pageBreakBefore w:val="0"/>
              <w:kinsoku/>
              <w:wordWrap/>
              <w:overflowPunct/>
              <w:topLinePunct w:val="0"/>
              <w:autoSpaceDE/>
              <w:autoSpaceDN/>
              <w:bidi w:val="0"/>
              <w:adjustRightInd/>
              <w:snapToGrid w:val="0"/>
              <w:spacing w:line="240" w:lineRule="atLeas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7分</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576FAF85">
            <w:pPr>
              <w:keepNext w:val="0"/>
              <w:keepLines w:val="0"/>
              <w:pageBreakBefore w:val="0"/>
              <w:kinsoku/>
              <w:wordWrap/>
              <w:overflowPunct/>
              <w:topLinePunct w:val="0"/>
              <w:autoSpaceDE/>
              <w:autoSpaceDN/>
              <w:bidi w:val="0"/>
              <w:adjustRightInd/>
              <w:snapToGrid w:val="0"/>
              <w:spacing w:line="240" w:lineRule="atLeast"/>
              <w:jc w:val="left"/>
              <w:rPr>
                <w:rFonts w:hint="eastAsia" w:ascii="仿宋" w:hAnsi="仿宋" w:eastAsia="仿宋" w:cs="仿宋"/>
                <w:i/>
                <w:iCs/>
                <w:color w:val="auto"/>
                <w:kern w:val="0"/>
                <w:sz w:val="24"/>
                <w:szCs w:val="24"/>
                <w:highlight w:val="none"/>
                <w:u w:val="none"/>
                <w:lang w:val="en-US" w:eastAsia="zh-CN" w:bidi="ar"/>
              </w:rPr>
            </w:pPr>
            <w:r>
              <w:rPr>
                <w:rFonts w:hint="eastAsia" w:ascii="仿宋" w:hAnsi="仿宋" w:eastAsia="仿宋" w:cs="仿宋"/>
                <w:i/>
                <w:iCs/>
                <w:color w:val="auto"/>
                <w:kern w:val="0"/>
                <w:sz w:val="22"/>
                <w:szCs w:val="22"/>
                <w:highlight w:val="none"/>
                <w:u w:val="none"/>
                <w:lang w:val="en-US" w:eastAsia="zh-CN" w:bidi="ar"/>
              </w:rPr>
              <w:t>参选银行</w:t>
            </w:r>
            <w:r>
              <w:rPr>
                <w:rFonts w:hint="eastAsia" w:ascii="仿宋" w:hAnsi="仿宋" w:eastAsia="仿宋" w:cs="仿宋"/>
                <w:i/>
                <w:iCs/>
                <w:color w:val="auto"/>
                <w:sz w:val="24"/>
                <w:szCs w:val="24"/>
                <w:highlight w:val="none"/>
              </w:rPr>
              <w:t>提供</w:t>
            </w:r>
            <w:r>
              <w:rPr>
                <w:rFonts w:hint="eastAsia" w:ascii="仿宋" w:hAnsi="仿宋" w:eastAsia="仿宋" w:cs="仿宋"/>
                <w:i/>
                <w:iCs/>
                <w:color w:val="auto"/>
                <w:sz w:val="24"/>
                <w:szCs w:val="24"/>
                <w:highlight w:val="none"/>
                <w:lang w:val="en-US" w:eastAsia="zh-CN"/>
              </w:rPr>
              <w:t>活期</w:t>
            </w:r>
            <w:r>
              <w:rPr>
                <w:rFonts w:hint="eastAsia" w:ascii="仿宋" w:hAnsi="仿宋" w:eastAsia="仿宋" w:cs="仿宋"/>
                <w:i/>
                <w:iCs/>
                <w:color w:val="auto"/>
                <w:sz w:val="24"/>
                <w:szCs w:val="24"/>
                <w:highlight w:val="none"/>
              </w:rPr>
              <w:t>基准利率承诺函，成交后按承诺利率执行。</w:t>
            </w:r>
          </w:p>
        </w:tc>
        <w:tc>
          <w:tcPr>
            <w:tcW w:w="5211" w:type="dxa"/>
            <w:tcBorders>
              <w:left w:val="single" w:color="auto" w:sz="4" w:space="0"/>
              <w:right w:val="single" w:color="auto" w:sz="4" w:space="0"/>
            </w:tcBorders>
            <w:noWrap w:val="0"/>
            <w:vAlign w:val="center"/>
          </w:tcPr>
          <w:p w14:paraId="14196F20">
            <w:pPr>
              <w:keepNext w:val="0"/>
              <w:keepLines w:val="0"/>
              <w:pageBreakBefore w:val="0"/>
              <w:kinsoku/>
              <w:wordWrap/>
              <w:overflowPunct/>
              <w:topLinePunct w:val="0"/>
              <w:autoSpaceDE/>
              <w:autoSpaceDN/>
              <w:bidi w:val="0"/>
              <w:adjustRightInd/>
              <w:snapToGrid w:val="0"/>
              <w:spacing w:line="240" w:lineRule="atLeas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w:t>
            </w:r>
            <w:r>
              <w:rPr>
                <w:rFonts w:hint="eastAsia" w:ascii="仿宋" w:hAnsi="仿宋" w:eastAsia="仿宋" w:cs="仿宋"/>
                <w:color w:val="auto"/>
                <w:kern w:val="2"/>
                <w:sz w:val="24"/>
                <w:szCs w:val="24"/>
                <w:highlight w:val="none"/>
                <w:lang w:val="en-US" w:eastAsia="zh-CN" w:bidi="ar-SA"/>
              </w:rPr>
              <w:t>利率水平</w:t>
            </w:r>
            <w:r>
              <w:rPr>
                <w:rFonts w:hint="eastAsia" w:ascii="仿宋" w:hAnsi="仿宋" w:eastAsia="仿宋" w:cs="仿宋"/>
                <w:color w:val="auto"/>
                <w:sz w:val="24"/>
                <w:szCs w:val="24"/>
                <w:highlight w:val="none"/>
                <w:lang w:val="en-US" w:eastAsia="zh-CN"/>
              </w:rPr>
              <w:t>排名，依次得7、5、3、1分，排名相同得分相同，最低不低于1分。</w:t>
            </w:r>
          </w:p>
        </w:tc>
      </w:tr>
      <w:tr w14:paraId="72E83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332" w:type="dxa"/>
            <w:vMerge w:val="continue"/>
            <w:tcBorders>
              <w:left w:val="single" w:color="auto" w:sz="4" w:space="0"/>
              <w:right w:val="single" w:color="auto" w:sz="4" w:space="0"/>
            </w:tcBorders>
            <w:noWrap w:val="0"/>
            <w:vAlign w:val="center"/>
          </w:tcPr>
          <w:p w14:paraId="67585E04">
            <w:pPr>
              <w:keepNext w:val="0"/>
              <w:keepLines w:val="0"/>
              <w:pageBreakBefore w:val="0"/>
              <w:kinsoku/>
              <w:wordWrap/>
              <w:overflowPunct/>
              <w:topLinePunct w:val="0"/>
              <w:autoSpaceDE/>
              <w:autoSpaceDN/>
              <w:bidi w:val="0"/>
              <w:adjustRightInd/>
              <w:snapToGrid w:val="0"/>
              <w:spacing w:line="240" w:lineRule="atLeast"/>
              <w:jc w:val="left"/>
              <w:rPr>
                <w:rFonts w:hint="eastAsia" w:ascii="仿宋" w:hAnsi="仿宋" w:eastAsia="仿宋" w:cs="仿宋"/>
                <w:color w:val="auto"/>
                <w:sz w:val="24"/>
                <w:szCs w:val="24"/>
                <w:highlight w:val="none"/>
              </w:rPr>
            </w:pPr>
          </w:p>
        </w:tc>
        <w:tc>
          <w:tcPr>
            <w:tcW w:w="2550" w:type="dxa"/>
            <w:gridSpan w:val="2"/>
            <w:tcBorders>
              <w:top w:val="single" w:color="auto" w:sz="4" w:space="0"/>
              <w:left w:val="single" w:color="auto" w:sz="4" w:space="0"/>
              <w:bottom w:val="single" w:color="auto" w:sz="4" w:space="0"/>
              <w:right w:val="single" w:color="auto" w:sz="4" w:space="0"/>
            </w:tcBorders>
            <w:noWrap w:val="0"/>
            <w:vAlign w:val="center"/>
          </w:tcPr>
          <w:p w14:paraId="78EC2A93">
            <w:pPr>
              <w:keepNext w:val="0"/>
              <w:keepLines w:val="0"/>
              <w:pageBreakBefore w:val="0"/>
              <w:kinsoku/>
              <w:wordWrap/>
              <w:overflowPunct/>
              <w:topLinePunct w:val="0"/>
              <w:autoSpaceDE/>
              <w:autoSpaceDN/>
              <w:bidi w:val="0"/>
              <w:adjustRightInd/>
              <w:snapToGrid w:val="0"/>
              <w:spacing w:line="240" w:lineRule="atLeas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区级国库集中支付代理银行考评情况</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43204943">
            <w:pPr>
              <w:keepNext w:val="0"/>
              <w:keepLines w:val="0"/>
              <w:pageBreakBefore w:val="0"/>
              <w:kinsoku/>
              <w:wordWrap/>
              <w:overflowPunct/>
              <w:topLinePunct w:val="0"/>
              <w:autoSpaceDE/>
              <w:autoSpaceDN/>
              <w:bidi w:val="0"/>
              <w:adjustRightInd/>
              <w:snapToGrid w:val="0"/>
              <w:spacing w:line="240" w:lineRule="atLeas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6分</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09E38B91">
            <w:pPr>
              <w:keepNext w:val="0"/>
              <w:keepLines w:val="0"/>
              <w:pageBreakBefore w:val="0"/>
              <w:kinsoku/>
              <w:wordWrap/>
              <w:overflowPunct/>
              <w:topLinePunct w:val="0"/>
              <w:autoSpaceDE/>
              <w:autoSpaceDN/>
              <w:bidi w:val="0"/>
              <w:adjustRightInd/>
              <w:snapToGrid w:val="0"/>
              <w:spacing w:line="240" w:lineRule="atLeast"/>
              <w:jc w:val="left"/>
              <w:rPr>
                <w:rFonts w:hint="eastAsia" w:ascii="仿宋" w:hAnsi="仿宋" w:eastAsia="仿宋" w:cs="仿宋"/>
                <w:i/>
                <w:iCs/>
                <w:color w:val="auto"/>
                <w:kern w:val="2"/>
                <w:sz w:val="24"/>
                <w:szCs w:val="24"/>
                <w:highlight w:val="none"/>
                <w:lang w:val="en-US" w:eastAsia="zh-CN" w:bidi="ar-SA"/>
              </w:rPr>
            </w:pPr>
            <w:r>
              <w:rPr>
                <w:rFonts w:hint="eastAsia" w:ascii="仿宋" w:hAnsi="仿宋" w:eastAsia="仿宋" w:cs="仿宋"/>
                <w:i/>
                <w:iCs/>
                <w:color w:val="auto"/>
                <w:kern w:val="0"/>
                <w:sz w:val="24"/>
                <w:szCs w:val="24"/>
                <w:highlight w:val="none"/>
                <w:u w:val="none"/>
                <w:lang w:val="en-US" w:eastAsia="zh-CN" w:bidi="ar"/>
              </w:rPr>
              <w:t>参选银行提供成都市青白江区财政局关于2024年区级财政专户代理银行考核结果通报证明材料。</w:t>
            </w:r>
          </w:p>
        </w:tc>
        <w:tc>
          <w:tcPr>
            <w:tcW w:w="5211" w:type="dxa"/>
            <w:tcBorders>
              <w:left w:val="single" w:color="auto" w:sz="4" w:space="0"/>
              <w:right w:val="single" w:color="auto" w:sz="4" w:space="0"/>
            </w:tcBorders>
            <w:noWrap w:val="0"/>
            <w:vAlign w:val="center"/>
          </w:tcPr>
          <w:p w14:paraId="083618B1">
            <w:pPr>
              <w:keepNext w:val="0"/>
              <w:keepLines w:val="0"/>
              <w:pageBreakBefore w:val="0"/>
              <w:kinsoku/>
              <w:wordWrap/>
              <w:overflowPunct/>
              <w:topLinePunct w:val="0"/>
              <w:autoSpaceDE/>
              <w:autoSpaceDN/>
              <w:bidi w:val="0"/>
              <w:adjustRightInd/>
              <w:snapToGrid w:val="0"/>
              <w:spacing w:line="240" w:lineRule="atLeas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根据区财政局评价打分，优秀6分，良好4分，其他2分。</w:t>
            </w:r>
          </w:p>
        </w:tc>
      </w:tr>
    </w:tbl>
    <w:p w14:paraId="58B218B8">
      <w:pPr>
        <w:pStyle w:val="2"/>
        <w:spacing w:line="240" w:lineRule="atLeast"/>
        <w:jc w:val="left"/>
      </w:pPr>
    </w:p>
    <w:p w14:paraId="7E38DF93">
      <w:r>
        <w:br w:type="page"/>
      </w:r>
    </w:p>
    <w:p w14:paraId="07DA52FF">
      <w:pPr>
        <w:sectPr>
          <w:pgSz w:w="16838" w:h="11906" w:orient="landscape"/>
          <w:pgMar w:top="1587" w:right="2098" w:bottom="1587" w:left="1984" w:header="851" w:footer="1134" w:gutter="0"/>
          <w:cols w:space="0" w:num="1"/>
          <w:docGrid w:type="lines" w:linePitch="459" w:charSpace="0"/>
        </w:sectPr>
      </w:pPr>
    </w:p>
    <w:p w14:paraId="415A2D3E">
      <w:pPr>
        <w:widowControl/>
        <w:jc w:val="left"/>
        <w:rPr>
          <w:rFonts w:ascii="方正黑体简体" w:hAnsi="方正黑体简体" w:eastAsia="方正黑体简体" w:cs="方正黑体简体"/>
          <w:color w:val="000000"/>
          <w:kern w:val="0"/>
          <w:sz w:val="31"/>
          <w:szCs w:val="31"/>
          <w:lang w:bidi="ar"/>
        </w:rPr>
      </w:pPr>
      <w:r>
        <w:rPr>
          <w:rFonts w:hint="eastAsia" w:ascii="方正黑体简体" w:hAnsi="方正黑体简体" w:eastAsia="方正黑体简体" w:cs="方正黑体简体"/>
          <w:color w:val="000000"/>
          <w:kern w:val="0"/>
          <w:sz w:val="31"/>
          <w:szCs w:val="31"/>
          <w:lang w:bidi="ar"/>
        </w:rPr>
        <w:t xml:space="preserve">附件2 </w:t>
      </w:r>
    </w:p>
    <w:p w14:paraId="7FB81642">
      <w:pPr>
        <w:widowControl/>
        <w:jc w:val="center"/>
        <w:rPr>
          <w:rFonts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廉政承诺书</w:t>
      </w:r>
    </w:p>
    <w:p w14:paraId="27874DE8">
      <w:pPr>
        <w:widowControl/>
        <w:jc w:val="center"/>
        <w:rPr>
          <w:rFonts w:ascii="方正仿宋简体" w:hAnsi="方正仿宋简体" w:eastAsia="方正仿宋简体" w:cs="方正仿宋简体"/>
          <w:color w:val="000000"/>
          <w:kern w:val="0"/>
          <w:sz w:val="31"/>
          <w:szCs w:val="31"/>
          <w:lang w:bidi="ar"/>
        </w:rPr>
      </w:pPr>
    </w:p>
    <w:p w14:paraId="33CB54E2">
      <w:pPr>
        <w:widowControl/>
        <w:jc w:val="left"/>
        <w:rPr>
          <w:rFonts w:ascii="方正仿宋简体" w:hAnsi="方正仿宋简体" w:eastAsia="方正仿宋简体" w:cs="方正仿宋简体"/>
          <w:color w:val="000000"/>
          <w:kern w:val="0"/>
          <w:sz w:val="31"/>
          <w:szCs w:val="31"/>
          <w:lang w:bidi="ar"/>
        </w:rPr>
      </w:pPr>
      <w:r>
        <w:rPr>
          <w:rFonts w:hint="eastAsia" w:ascii="方正仿宋简体" w:hAnsi="方正仿宋简体" w:eastAsia="方正仿宋简体" w:cs="方正仿宋简体"/>
          <w:color w:val="000000"/>
          <w:kern w:val="0"/>
          <w:sz w:val="31"/>
          <w:szCs w:val="31"/>
          <w:lang w:bidi="ar"/>
        </w:rPr>
        <w:t>本单位承诺：</w:t>
      </w:r>
    </w:p>
    <w:p w14:paraId="644C25C0">
      <w:pPr>
        <w:widowControl/>
        <w:ind w:firstLine="706" w:firstLineChars="228"/>
        <w:jc w:val="left"/>
        <w:rPr>
          <w:rFonts w:ascii="方正仿宋简体" w:hAnsi="方正仿宋简体" w:eastAsia="方正仿宋简体" w:cs="方正仿宋简体"/>
          <w:color w:val="000000"/>
          <w:kern w:val="0"/>
          <w:sz w:val="31"/>
          <w:szCs w:val="31"/>
          <w:lang w:bidi="ar"/>
        </w:rPr>
      </w:pPr>
      <w:r>
        <w:rPr>
          <w:rFonts w:hint="eastAsia" w:ascii="方正仿宋简体" w:hAnsi="方正仿宋简体" w:eastAsia="方正仿宋简体" w:cs="方正仿宋简体"/>
          <w:color w:val="000000"/>
          <w:kern w:val="0"/>
          <w:sz w:val="31"/>
          <w:szCs w:val="31"/>
          <w:lang w:bidi="ar"/>
        </w:rPr>
        <w:t>（一）提供的申报证明资料真实有效；</w:t>
      </w:r>
    </w:p>
    <w:p w14:paraId="63B6ACF6">
      <w:pPr>
        <w:widowControl/>
        <w:ind w:firstLine="706" w:firstLineChars="228"/>
        <w:jc w:val="left"/>
        <w:rPr>
          <w:rFonts w:ascii="方正仿宋简体" w:hAnsi="方正仿宋简体" w:eastAsia="方正仿宋简体" w:cs="方正仿宋简体"/>
          <w:color w:val="000000"/>
          <w:kern w:val="0"/>
          <w:sz w:val="31"/>
          <w:szCs w:val="31"/>
          <w:lang w:bidi="ar"/>
        </w:rPr>
      </w:pPr>
      <w:r>
        <w:rPr>
          <w:rFonts w:hint="eastAsia" w:ascii="方正仿宋简体" w:hAnsi="方正仿宋简体" w:eastAsia="方正仿宋简体" w:cs="方正仿宋简体"/>
          <w:color w:val="000000"/>
          <w:kern w:val="0"/>
          <w:sz w:val="31"/>
          <w:szCs w:val="31"/>
          <w:lang w:bidi="ar"/>
        </w:rPr>
        <w:t>（二）在申报过程中未向资金存放主体相关人员输送任何利益；</w:t>
      </w:r>
    </w:p>
    <w:p w14:paraId="2326D811">
      <w:pPr>
        <w:widowControl/>
        <w:ind w:firstLine="706" w:firstLineChars="228"/>
        <w:jc w:val="left"/>
        <w:rPr>
          <w:rFonts w:ascii="方正仿宋简体" w:hAnsi="方正仿宋简体" w:eastAsia="方正仿宋简体" w:cs="方正仿宋简体"/>
          <w:color w:val="000000"/>
          <w:kern w:val="0"/>
          <w:sz w:val="31"/>
          <w:szCs w:val="31"/>
          <w:lang w:bidi="ar"/>
        </w:rPr>
      </w:pPr>
      <w:r>
        <w:rPr>
          <w:rFonts w:hint="eastAsia" w:ascii="方正仿宋简体" w:hAnsi="方正仿宋简体" w:eastAsia="方正仿宋简体" w:cs="方正仿宋简体"/>
          <w:color w:val="000000"/>
          <w:kern w:val="0"/>
          <w:sz w:val="31"/>
          <w:szCs w:val="31"/>
          <w:lang w:bidi="ar"/>
        </w:rPr>
        <w:t>（三）未将资金存放与资金存放主体相关负责人员在本行亲属的业绩、收入挂钩；</w:t>
      </w:r>
    </w:p>
    <w:p w14:paraId="27CC59D4">
      <w:pPr>
        <w:widowControl/>
        <w:ind w:firstLine="706" w:firstLineChars="228"/>
        <w:jc w:val="left"/>
        <w:rPr>
          <w:rFonts w:ascii="方正仿宋简体" w:hAnsi="方正仿宋简体" w:eastAsia="方正仿宋简体" w:cs="方正仿宋简体"/>
          <w:color w:val="000000"/>
          <w:kern w:val="0"/>
          <w:sz w:val="31"/>
          <w:szCs w:val="31"/>
          <w:lang w:bidi="ar"/>
        </w:rPr>
      </w:pPr>
      <w:r>
        <w:rPr>
          <w:rFonts w:hint="eastAsia" w:ascii="方正仿宋简体" w:hAnsi="方正仿宋简体" w:eastAsia="方正仿宋简体" w:cs="方正仿宋简体"/>
          <w:color w:val="000000"/>
          <w:kern w:val="0"/>
          <w:sz w:val="31"/>
          <w:szCs w:val="31"/>
          <w:lang w:bidi="ar"/>
        </w:rPr>
        <w:t>（四）严格遵守国家有关法律法规、政策规定与廉洁纪律。</w:t>
      </w:r>
    </w:p>
    <w:p w14:paraId="3FBB16EE">
      <w:pPr>
        <w:widowControl/>
        <w:jc w:val="left"/>
        <w:rPr>
          <w:rFonts w:ascii="方正仿宋简体" w:hAnsi="方正仿宋简体" w:eastAsia="方正仿宋简体" w:cs="方正仿宋简体"/>
          <w:color w:val="000000"/>
          <w:kern w:val="0"/>
          <w:sz w:val="31"/>
          <w:szCs w:val="31"/>
          <w:lang w:bidi="ar"/>
        </w:rPr>
      </w:pPr>
    </w:p>
    <w:p w14:paraId="35A47F9A">
      <w:pPr>
        <w:widowControl/>
        <w:jc w:val="left"/>
        <w:rPr>
          <w:rFonts w:ascii="方正仿宋简体" w:hAnsi="方正仿宋简体" w:eastAsia="方正仿宋简体" w:cs="方正仿宋简体"/>
          <w:color w:val="000000"/>
          <w:kern w:val="0"/>
          <w:sz w:val="31"/>
          <w:szCs w:val="31"/>
          <w:lang w:bidi="ar"/>
        </w:rPr>
      </w:pPr>
    </w:p>
    <w:p w14:paraId="5F4BB507">
      <w:pPr>
        <w:widowControl/>
        <w:jc w:val="right"/>
        <w:rPr>
          <w:rFonts w:ascii="方正仿宋简体" w:hAnsi="方正仿宋简体" w:eastAsia="方正仿宋简体" w:cs="方正仿宋简体"/>
          <w:color w:val="000000"/>
          <w:kern w:val="0"/>
          <w:sz w:val="31"/>
          <w:szCs w:val="31"/>
          <w:lang w:bidi="ar"/>
        </w:rPr>
      </w:pPr>
      <w:r>
        <w:rPr>
          <w:rFonts w:hint="eastAsia" w:ascii="方正仿宋简体" w:hAnsi="方正仿宋简体" w:eastAsia="方正仿宋简体" w:cs="方正仿宋简体"/>
          <w:color w:val="000000"/>
          <w:kern w:val="0"/>
          <w:sz w:val="31"/>
          <w:szCs w:val="31"/>
          <w:lang w:bidi="ar"/>
        </w:rPr>
        <w:t>承诺单位：XXXX支行</w:t>
      </w:r>
    </w:p>
    <w:p w14:paraId="3DB4C41E">
      <w:pPr>
        <w:widowControl/>
        <w:jc w:val="right"/>
        <w:rPr>
          <w:rFonts w:ascii="方正仿宋简体" w:hAnsi="方正仿宋简体" w:eastAsia="方正仿宋简体" w:cs="方正仿宋简体"/>
          <w:color w:val="000000"/>
          <w:kern w:val="0"/>
          <w:sz w:val="31"/>
          <w:szCs w:val="31"/>
          <w:lang w:bidi="ar"/>
        </w:rPr>
      </w:pPr>
      <w:r>
        <w:rPr>
          <w:rFonts w:hint="eastAsia" w:ascii="方正仿宋简体" w:hAnsi="方正仿宋简体" w:eastAsia="方正仿宋简体" w:cs="方正仿宋简体"/>
          <w:color w:val="000000"/>
          <w:kern w:val="0"/>
          <w:sz w:val="31"/>
          <w:szCs w:val="31"/>
          <w:lang w:bidi="ar"/>
        </w:rPr>
        <w:t>日期：2025年xx月XX日</w:t>
      </w:r>
    </w:p>
    <w:p w14:paraId="4FCC30D2">
      <w:pPr>
        <w:widowControl/>
        <w:jc w:val="left"/>
        <w:rPr>
          <w:rFonts w:ascii="方正黑体简体" w:hAnsi="方正黑体简体" w:eastAsia="方正黑体简体" w:cs="方正黑体简体"/>
          <w:color w:val="000000"/>
          <w:kern w:val="0"/>
          <w:sz w:val="31"/>
          <w:szCs w:val="31"/>
          <w:lang w:bidi="ar"/>
        </w:rPr>
      </w:pPr>
      <w:r>
        <w:rPr>
          <w:rFonts w:ascii="方正仿宋简体" w:hAnsi="方正仿宋简体" w:eastAsia="方正仿宋简体" w:cs="方正仿宋简体"/>
          <w:color w:val="000000"/>
          <w:kern w:val="0"/>
          <w:sz w:val="31"/>
          <w:szCs w:val="31"/>
          <w:lang w:bidi="ar"/>
        </w:rPr>
        <w:br w:type="page"/>
      </w:r>
      <w:r>
        <w:rPr>
          <w:rFonts w:hint="eastAsia" w:ascii="方正黑体简体" w:hAnsi="方正黑体简体" w:eastAsia="方正黑体简体" w:cs="方正黑体简体"/>
          <w:color w:val="000000"/>
          <w:kern w:val="0"/>
          <w:sz w:val="31"/>
          <w:szCs w:val="31"/>
          <w:lang w:bidi="ar"/>
        </w:rPr>
        <w:t xml:space="preserve">附件3 </w:t>
      </w:r>
    </w:p>
    <w:p w14:paraId="7EAE61D3">
      <w:pPr>
        <w:jc w:val="center"/>
        <w:rPr>
          <w:rFonts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无违法违规情况承诺函</w:t>
      </w:r>
    </w:p>
    <w:p w14:paraId="705CA9A7">
      <w:pPr>
        <w:jc w:val="center"/>
        <w:rPr>
          <w:rFonts w:ascii="方正小标宋简体" w:hAnsi="方正小标宋简体" w:eastAsia="方正小标宋简体" w:cs="方正小标宋简体"/>
          <w:color w:val="000000"/>
          <w:kern w:val="0"/>
          <w:sz w:val="44"/>
          <w:szCs w:val="44"/>
          <w:lang w:bidi="ar"/>
        </w:rPr>
      </w:pPr>
    </w:p>
    <w:p w14:paraId="770F9504">
      <w:pPr>
        <w:widowControl/>
        <w:jc w:val="left"/>
        <w:rPr>
          <w:rFonts w:ascii="方正仿宋简体" w:hAnsi="方正仿宋简体" w:eastAsia="方正仿宋简体" w:cs="方正仿宋简体"/>
          <w:color w:val="000000"/>
          <w:kern w:val="0"/>
          <w:sz w:val="31"/>
          <w:szCs w:val="31"/>
          <w:lang w:bidi="ar"/>
        </w:rPr>
      </w:pPr>
      <w:r>
        <w:rPr>
          <w:rFonts w:hint="eastAsia" w:ascii="方正仿宋简体" w:hAnsi="方正仿宋简体" w:eastAsia="方正仿宋简体" w:cs="方正仿宋简体"/>
          <w:color w:val="000000"/>
          <w:kern w:val="0"/>
          <w:sz w:val="31"/>
          <w:szCs w:val="31"/>
          <w:lang w:bidi="ar"/>
        </w:rPr>
        <w:t>本单位承诺：</w:t>
      </w:r>
    </w:p>
    <w:p w14:paraId="61550A09">
      <w:pPr>
        <w:ind w:firstLine="640" w:firstLineChars="200"/>
        <w:jc w:val="left"/>
        <w:rPr>
          <w:rFonts w:ascii="方正仿宋简体" w:hAnsi="方正仿宋简体" w:eastAsia="方正仿宋简体" w:cs="方正仿宋简体"/>
          <w:szCs w:val="32"/>
        </w:rPr>
      </w:pPr>
      <w:r>
        <w:rPr>
          <w:rFonts w:ascii="方正楷体简体" w:hAnsi="方正楷体简体" w:eastAsia="方正楷体简体" w:cs="方正楷体简体"/>
          <w:szCs w:val="32"/>
        </w:rPr>
        <w:t>（一）</w:t>
      </w:r>
      <w:r>
        <w:rPr>
          <w:rFonts w:ascii="方正仿宋简体" w:hAnsi="方正仿宋简体" w:eastAsia="方正仿宋简体" w:cs="方正仿宋简体"/>
          <w:szCs w:val="32"/>
        </w:rPr>
        <w:t>依法开展经营活动，近 3 年内在经营活动中无违法、重大违规记录</w:t>
      </w:r>
      <w:r>
        <w:rPr>
          <w:rFonts w:hint="eastAsia" w:ascii="方正仿宋简体" w:hAnsi="方正仿宋简体" w:eastAsia="方正仿宋简体" w:cs="方正仿宋简体"/>
          <w:szCs w:val="32"/>
        </w:rPr>
        <w:t>、未发生金融风险及重大违约事件，</w:t>
      </w:r>
      <w:r>
        <w:rPr>
          <w:rFonts w:ascii="方正仿宋简体" w:hAnsi="方正仿宋简体" w:eastAsia="方正仿宋简体" w:cs="方正仿宋简体"/>
          <w:szCs w:val="32"/>
        </w:rPr>
        <w:t>且上年度在当地人民银行分支机构综合评价等级为 B 等及以上。</w:t>
      </w:r>
    </w:p>
    <w:p w14:paraId="7017C516">
      <w:pPr>
        <w:ind w:firstLine="640" w:firstLineChars="200"/>
        <w:jc w:val="left"/>
        <w:rPr>
          <w:rFonts w:ascii="方正仿宋简体" w:hAnsi="方正仿宋简体" w:eastAsia="方正仿宋简体" w:cs="方正仿宋简体"/>
          <w:szCs w:val="32"/>
        </w:rPr>
      </w:pPr>
      <w:r>
        <w:rPr>
          <w:rFonts w:ascii="方正楷体简体" w:hAnsi="方正楷体简体" w:eastAsia="方正楷体简体" w:cs="方正楷体简体"/>
          <w:szCs w:val="32"/>
        </w:rPr>
        <w:t>（二）</w:t>
      </w:r>
      <w:r>
        <w:rPr>
          <w:rFonts w:ascii="方正仿宋简体" w:hAnsi="方正仿宋简体" w:eastAsia="方正仿宋简体" w:cs="方正仿宋简体"/>
          <w:szCs w:val="32"/>
        </w:rPr>
        <w:t>财务稳健，资本充足率、不良贷款率、拨备覆盖率、流动性覆盖率、流动性比例等指标达到监管标准。</w:t>
      </w:r>
    </w:p>
    <w:p w14:paraId="0FACE130">
      <w:pPr>
        <w:widowControl/>
        <w:ind w:firstLine="640" w:firstLineChars="200"/>
        <w:jc w:val="left"/>
        <w:rPr>
          <w:rFonts w:ascii="方正仿宋简体" w:hAnsi="方正仿宋简体" w:eastAsia="方正仿宋简体" w:cs="方正仿宋简体"/>
          <w:szCs w:val="32"/>
        </w:rPr>
      </w:pPr>
      <w:r>
        <w:rPr>
          <w:rFonts w:ascii="方正楷体简体" w:hAnsi="方正楷体简体" w:eastAsia="方正楷体简体" w:cs="方正楷体简体"/>
          <w:szCs w:val="32"/>
        </w:rPr>
        <w:t>（三）</w:t>
      </w:r>
      <w:r>
        <w:rPr>
          <w:rFonts w:ascii="方正仿宋简体" w:hAnsi="方正仿宋简体" w:eastAsia="方正仿宋简体" w:cs="方正仿宋简体"/>
          <w:szCs w:val="32"/>
        </w:rPr>
        <w:t>内部管理机制健全，具有较强的风险控制能力，近3年内未发生金融风险及重大违约事件</w:t>
      </w:r>
      <w:r>
        <w:rPr>
          <w:rFonts w:hint="eastAsia" w:ascii="方正仿宋简体" w:hAnsi="方正仿宋简体" w:eastAsia="方正仿宋简体" w:cs="方正仿宋简体"/>
          <w:szCs w:val="32"/>
        </w:rPr>
        <w:t>。</w:t>
      </w:r>
    </w:p>
    <w:p w14:paraId="77B2823D">
      <w:pPr>
        <w:widowControl/>
        <w:ind w:firstLine="640" w:firstLineChars="200"/>
        <w:jc w:val="left"/>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（四）所提交的相关资料真实可信，且已知晓虚报资料的后果。</w:t>
      </w:r>
    </w:p>
    <w:p w14:paraId="1FCE886B">
      <w:pPr>
        <w:widowControl/>
        <w:jc w:val="left"/>
        <w:rPr>
          <w:rFonts w:ascii="方正仿宋简体" w:hAnsi="方正仿宋简体" w:eastAsia="方正仿宋简体" w:cs="方正仿宋简体"/>
          <w:color w:val="000000"/>
          <w:kern w:val="0"/>
          <w:sz w:val="31"/>
          <w:szCs w:val="31"/>
          <w:lang w:bidi="ar"/>
        </w:rPr>
      </w:pPr>
    </w:p>
    <w:p w14:paraId="2365A3AD">
      <w:pPr>
        <w:widowControl/>
        <w:jc w:val="left"/>
        <w:rPr>
          <w:rFonts w:ascii="方正仿宋简体" w:hAnsi="方正仿宋简体" w:eastAsia="方正仿宋简体" w:cs="方正仿宋简体"/>
          <w:color w:val="000000"/>
          <w:kern w:val="0"/>
          <w:sz w:val="31"/>
          <w:szCs w:val="31"/>
          <w:lang w:bidi="ar"/>
        </w:rPr>
      </w:pPr>
    </w:p>
    <w:p w14:paraId="1AFCB421">
      <w:pPr>
        <w:widowControl/>
        <w:jc w:val="right"/>
        <w:rPr>
          <w:rFonts w:ascii="方正仿宋简体" w:hAnsi="方正仿宋简体" w:eastAsia="方正仿宋简体" w:cs="方正仿宋简体"/>
          <w:color w:val="000000"/>
          <w:kern w:val="0"/>
          <w:sz w:val="31"/>
          <w:szCs w:val="31"/>
          <w:lang w:bidi="ar"/>
        </w:rPr>
      </w:pPr>
      <w:r>
        <w:rPr>
          <w:rFonts w:hint="eastAsia" w:ascii="方正仿宋简体" w:hAnsi="方正仿宋简体" w:eastAsia="方正仿宋简体" w:cs="方正仿宋简体"/>
          <w:color w:val="000000"/>
          <w:kern w:val="0"/>
          <w:sz w:val="31"/>
          <w:szCs w:val="31"/>
          <w:lang w:bidi="ar"/>
        </w:rPr>
        <w:t>承诺单位：XXXX支行</w:t>
      </w:r>
    </w:p>
    <w:p w14:paraId="79E4C92C">
      <w:pPr>
        <w:widowControl/>
        <w:jc w:val="right"/>
        <w:rPr>
          <w:rFonts w:ascii="方正仿宋简体" w:hAnsi="方正仿宋简体" w:eastAsia="方正仿宋简体" w:cs="方正仿宋简体"/>
          <w:color w:val="000000"/>
          <w:kern w:val="0"/>
          <w:sz w:val="31"/>
          <w:szCs w:val="31"/>
          <w:lang w:bidi="ar"/>
        </w:rPr>
      </w:pPr>
      <w:r>
        <w:rPr>
          <w:rFonts w:hint="eastAsia" w:ascii="方正仿宋简体" w:hAnsi="方正仿宋简体" w:eastAsia="方正仿宋简体" w:cs="方正仿宋简体"/>
          <w:color w:val="000000"/>
          <w:kern w:val="0"/>
          <w:sz w:val="31"/>
          <w:szCs w:val="31"/>
          <w:lang w:bidi="ar"/>
        </w:rPr>
        <w:t>日期：2025年xx月xx日</w:t>
      </w:r>
    </w:p>
    <w:p w14:paraId="08FA6DF0">
      <w:pPr>
        <w:widowControl/>
        <w:jc w:val="right"/>
        <w:rPr>
          <w:rFonts w:ascii="方正仿宋简体" w:hAnsi="方正仿宋简体" w:eastAsia="方正仿宋简体" w:cs="方正仿宋简体"/>
          <w:color w:val="000000"/>
          <w:kern w:val="0"/>
          <w:sz w:val="31"/>
          <w:szCs w:val="31"/>
          <w:lang w:bidi="ar"/>
        </w:rPr>
      </w:pPr>
    </w:p>
    <w:p w14:paraId="0ACECC5F">
      <w:pPr>
        <w:rPr>
          <w:rFonts w:ascii="方正黑体简体" w:hAnsi="方正黑体简体" w:eastAsia="方正黑体简体" w:cs="方正黑体简体"/>
          <w:color w:val="000000"/>
          <w:kern w:val="0"/>
          <w:sz w:val="31"/>
          <w:szCs w:val="31"/>
          <w:lang w:bidi="ar"/>
        </w:rPr>
      </w:pPr>
      <w:r>
        <w:rPr>
          <w:rFonts w:hint="eastAsia" w:ascii="方正黑体简体" w:hAnsi="方正黑体简体" w:eastAsia="方正黑体简体" w:cs="方正黑体简体"/>
          <w:color w:val="000000"/>
          <w:kern w:val="0"/>
          <w:sz w:val="31"/>
          <w:szCs w:val="31"/>
          <w:lang w:bidi="ar"/>
        </w:rPr>
        <w:br w:type="page"/>
      </w:r>
    </w:p>
    <w:p w14:paraId="1F5285A0">
      <w:pPr>
        <w:widowControl/>
        <w:jc w:val="left"/>
        <w:rPr>
          <w:rFonts w:ascii="方正黑体简体" w:hAnsi="方正黑体简体" w:eastAsia="方正黑体简体" w:cs="方正黑体简体"/>
          <w:color w:val="000000"/>
          <w:kern w:val="0"/>
          <w:sz w:val="31"/>
          <w:szCs w:val="31"/>
          <w:lang w:bidi="ar"/>
        </w:rPr>
      </w:pPr>
      <w:r>
        <w:rPr>
          <w:rFonts w:hint="eastAsia" w:ascii="方正黑体简体" w:hAnsi="方正黑体简体" w:eastAsia="方正黑体简体" w:cs="方正黑体简体"/>
          <w:color w:val="000000"/>
          <w:kern w:val="0"/>
          <w:sz w:val="31"/>
          <w:szCs w:val="31"/>
          <w:lang w:bidi="ar"/>
        </w:rPr>
        <w:t xml:space="preserve">附件4 </w:t>
      </w:r>
    </w:p>
    <w:p w14:paraId="3293DFF0">
      <w:pPr>
        <w:jc w:val="center"/>
        <w:rPr>
          <w:rFonts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利率承诺函</w:t>
      </w:r>
    </w:p>
    <w:p w14:paraId="1ADA3E89">
      <w:pPr>
        <w:jc w:val="center"/>
        <w:rPr>
          <w:rFonts w:ascii="方正小标宋简体" w:hAnsi="方正小标宋简体" w:eastAsia="方正小标宋简体" w:cs="方正小标宋简体"/>
          <w:color w:val="000000"/>
          <w:kern w:val="0"/>
          <w:sz w:val="44"/>
          <w:szCs w:val="44"/>
          <w:lang w:bidi="ar"/>
        </w:rPr>
      </w:pPr>
    </w:p>
    <w:p w14:paraId="7CF86B8A">
      <w:pPr>
        <w:widowControl/>
        <w:jc w:val="left"/>
        <w:rPr>
          <w:rFonts w:ascii="方正仿宋简体" w:hAnsi="方正仿宋简体" w:eastAsia="方正仿宋简体" w:cs="方正仿宋简体"/>
          <w:color w:val="000000"/>
          <w:kern w:val="0"/>
          <w:sz w:val="31"/>
          <w:szCs w:val="31"/>
          <w:lang w:bidi="ar"/>
        </w:rPr>
      </w:pPr>
      <w:r>
        <w:rPr>
          <w:rFonts w:hint="eastAsia" w:ascii="方正仿宋简体" w:hAnsi="方正仿宋简体" w:eastAsia="方正仿宋简体" w:cs="方正仿宋简体"/>
          <w:color w:val="000000"/>
          <w:kern w:val="0"/>
          <w:sz w:val="31"/>
          <w:szCs w:val="31"/>
          <w:lang w:bidi="ar"/>
        </w:rPr>
        <w:t>本单位承诺：</w:t>
      </w:r>
    </w:p>
    <w:p w14:paraId="2D6B1ADA">
      <w:pPr>
        <w:widowControl/>
        <w:ind w:firstLine="638" w:firstLineChars="206"/>
        <w:jc w:val="left"/>
        <w:rPr>
          <w:rFonts w:ascii="方正仿宋简体" w:hAnsi="方正仿宋简体" w:eastAsia="方正仿宋简体" w:cs="方正仿宋简体"/>
          <w:color w:val="000000"/>
          <w:kern w:val="0"/>
          <w:sz w:val="31"/>
          <w:szCs w:val="31"/>
          <w:lang w:bidi="ar"/>
        </w:rPr>
      </w:pPr>
      <w:r>
        <w:rPr>
          <w:rFonts w:hint="eastAsia" w:ascii="方正仿宋简体" w:hAnsi="方正仿宋简体" w:eastAsia="方正仿宋简体" w:cs="方正仿宋简体"/>
          <w:color w:val="000000"/>
          <w:kern w:val="0"/>
          <w:sz w:val="31"/>
          <w:szCs w:val="31"/>
          <w:lang w:bidi="ar"/>
        </w:rPr>
        <w:t>若被选择为</w:t>
      </w:r>
      <w:r>
        <w:rPr>
          <w:rFonts w:hint="eastAsia" w:ascii="方正仿宋简体" w:hAnsi="方正仿宋简体" w:eastAsia="方正仿宋简体" w:cs="方正仿宋简体"/>
          <w:szCs w:val="32"/>
        </w:rPr>
        <w:t>成都市青白江区陆港第一小学</w:t>
      </w:r>
      <w:r>
        <w:rPr>
          <w:rFonts w:hint="eastAsia" w:ascii="方正仿宋简体" w:hAnsi="方正仿宋简体" w:eastAsia="方正仿宋简体" w:cs="方正仿宋简体"/>
          <w:color w:val="000000"/>
          <w:kern w:val="0"/>
          <w:sz w:val="31"/>
          <w:szCs w:val="31"/>
          <w:lang w:bidi="ar"/>
        </w:rPr>
        <w:t>食堂专用结算账户存放银行，将为活期存放的担保基金按照</w:t>
      </w:r>
      <w:r>
        <w:rPr>
          <w:rFonts w:hint="eastAsia" w:ascii="方正仿宋简体" w:hAnsi="方正仿宋简体" w:eastAsia="方正仿宋简体" w:cs="方正仿宋简体"/>
          <w:color w:val="000000"/>
          <w:kern w:val="0"/>
          <w:sz w:val="31"/>
          <w:szCs w:val="31"/>
          <w:u w:val="single"/>
          <w:lang w:bidi="ar"/>
        </w:rPr>
        <w:t xml:space="preserve">     % </w:t>
      </w:r>
      <w:r>
        <w:rPr>
          <w:rFonts w:hint="eastAsia" w:ascii="方正仿宋简体" w:hAnsi="方正仿宋简体" w:eastAsia="方正仿宋简体" w:cs="方正仿宋简体"/>
          <w:color w:val="000000"/>
          <w:kern w:val="0"/>
          <w:sz w:val="31"/>
          <w:szCs w:val="31"/>
          <w:lang w:bidi="ar"/>
        </w:rPr>
        <w:t>年利率结算利息。该利息</w:t>
      </w:r>
      <w:r>
        <w:rPr>
          <w:rFonts w:ascii="方正仿宋简体" w:hAnsi="方正仿宋简体" w:eastAsia="方正仿宋简体" w:cs="方正仿宋简体"/>
          <w:color w:val="000000"/>
          <w:kern w:val="0"/>
          <w:sz w:val="31"/>
          <w:szCs w:val="31"/>
          <w:lang w:bidi="ar"/>
        </w:rPr>
        <w:t>符合国家利率政策规定。</w:t>
      </w:r>
    </w:p>
    <w:p w14:paraId="7669A08F">
      <w:pPr>
        <w:widowControl/>
        <w:ind w:firstLine="638" w:firstLineChars="206"/>
        <w:jc w:val="left"/>
      </w:pPr>
      <w:r>
        <w:rPr>
          <w:rFonts w:hint="eastAsia" w:ascii="方正仿宋简体" w:hAnsi="方正仿宋简体" w:eastAsia="方正仿宋简体" w:cs="方正仿宋简体"/>
          <w:color w:val="000000"/>
          <w:kern w:val="0"/>
          <w:sz w:val="31"/>
          <w:szCs w:val="31"/>
          <w:lang w:bidi="ar"/>
        </w:rPr>
        <w:t>本承诺函视作要约。</w:t>
      </w:r>
    </w:p>
    <w:p w14:paraId="1B85FD7B">
      <w:pPr>
        <w:widowControl/>
        <w:jc w:val="left"/>
        <w:rPr>
          <w:rFonts w:ascii="方正仿宋简体" w:hAnsi="方正仿宋简体" w:eastAsia="方正仿宋简体" w:cs="方正仿宋简体"/>
          <w:color w:val="000000"/>
          <w:kern w:val="0"/>
          <w:sz w:val="31"/>
          <w:szCs w:val="31"/>
          <w:lang w:bidi="ar"/>
        </w:rPr>
      </w:pPr>
    </w:p>
    <w:p w14:paraId="24C5FBDD">
      <w:pPr>
        <w:widowControl/>
        <w:jc w:val="left"/>
        <w:rPr>
          <w:rFonts w:ascii="方正仿宋简体" w:hAnsi="方正仿宋简体" w:eastAsia="方正仿宋简体" w:cs="方正仿宋简体"/>
          <w:color w:val="000000"/>
          <w:kern w:val="0"/>
          <w:sz w:val="31"/>
          <w:szCs w:val="31"/>
          <w:lang w:bidi="ar"/>
        </w:rPr>
      </w:pPr>
    </w:p>
    <w:p w14:paraId="21AA81FA">
      <w:pPr>
        <w:widowControl/>
        <w:jc w:val="right"/>
        <w:rPr>
          <w:rFonts w:ascii="方正仿宋简体" w:hAnsi="方正仿宋简体" w:eastAsia="方正仿宋简体" w:cs="方正仿宋简体"/>
          <w:color w:val="000000"/>
          <w:kern w:val="0"/>
          <w:sz w:val="31"/>
          <w:szCs w:val="31"/>
          <w:lang w:bidi="ar"/>
        </w:rPr>
      </w:pPr>
      <w:r>
        <w:rPr>
          <w:rFonts w:hint="eastAsia" w:ascii="方正仿宋简体" w:hAnsi="方正仿宋简体" w:eastAsia="方正仿宋简体" w:cs="方正仿宋简体"/>
          <w:color w:val="000000"/>
          <w:kern w:val="0"/>
          <w:sz w:val="31"/>
          <w:szCs w:val="31"/>
          <w:lang w:bidi="ar"/>
        </w:rPr>
        <w:t>承诺单位：XXXX支行</w:t>
      </w:r>
    </w:p>
    <w:p w14:paraId="50BE55CA">
      <w:pPr>
        <w:widowControl/>
        <w:ind w:firstLine="620" w:firstLineChars="200"/>
        <w:jc w:val="right"/>
        <w:rPr>
          <w:rFonts w:ascii="方正仿宋简体" w:hAnsi="方正仿宋简体" w:eastAsia="方正仿宋简体" w:cs="方正仿宋简体"/>
          <w:color w:val="000000"/>
          <w:kern w:val="0"/>
          <w:sz w:val="31"/>
          <w:szCs w:val="31"/>
          <w:lang w:bidi="ar"/>
        </w:rPr>
      </w:pPr>
      <w:r>
        <w:rPr>
          <w:rFonts w:hint="eastAsia" w:ascii="方正仿宋简体" w:hAnsi="方正仿宋简体" w:eastAsia="方正仿宋简体" w:cs="方正仿宋简体"/>
          <w:color w:val="000000"/>
          <w:kern w:val="0"/>
          <w:sz w:val="31"/>
          <w:szCs w:val="31"/>
          <w:lang w:bidi="ar"/>
        </w:rPr>
        <w:t>日期：2025年XX月XX日</w:t>
      </w:r>
    </w:p>
    <w:p w14:paraId="62428C48"/>
    <w:p w14:paraId="095324C2">
      <w:pPr>
        <w:widowControl/>
      </w:pPr>
    </w:p>
    <w:p w14:paraId="75E2C02A">
      <w:pPr>
        <w:pStyle w:val="2"/>
      </w:pPr>
    </w:p>
    <w:sectPr>
      <w:headerReference r:id="rId8" w:type="default"/>
      <w:footerReference r:id="rId10" w:type="default"/>
      <w:headerReference r:id="rId9" w:type="even"/>
      <w:footerReference r:id="rId11" w:type="even"/>
      <w:pgSz w:w="11906" w:h="16838"/>
      <w:pgMar w:top="1247" w:right="1803" w:bottom="1088" w:left="1803" w:header="851" w:footer="992" w:gutter="0"/>
      <w:cols w:space="0" w:num="1"/>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ngsana New">
    <w:altName w:val="Arial Unicode MS"/>
    <w:panose1 w:val="02020603050405020304"/>
    <w:charset w:val="DE"/>
    <w:family w:val="roman"/>
    <w:pitch w:val="default"/>
    <w:sig w:usb0="00000000" w:usb1="00000000" w:usb2="00000000" w:usb3="00000000" w:csb0="00010000" w:csb1="00000000"/>
  </w:font>
  <w:font w:name="Arial Unicode MS">
    <w:panose1 w:val="020B0604020202020204"/>
    <w:charset w:val="86"/>
    <w:family w:val="auto"/>
    <w:pitch w:val="default"/>
    <w:sig w:usb0="F7FFAEFF" w:usb1="F9DFFFFF" w:usb2="0000007F" w:usb3="00000000" w:csb0="203F01FF" w:csb1="DFFF0000"/>
  </w:font>
  <w:font w:name="仿宋">
    <w:panose1 w:val="02010609060101010101"/>
    <w:charset w:val="86"/>
    <w:family w:val="modern"/>
    <w:pitch w:val="default"/>
    <w:sig w:usb0="800002BF" w:usb1="38CF7CFA" w:usb2="00000016" w:usb3="00000000" w:csb0="00040001" w:csb1="00000000"/>
    <w:embedRegular r:id="rId1" w:fontKey="{B0C12D04-D9F2-4DCA-8F2B-73059BE329A2}"/>
  </w:font>
  <w:font w:name="方正小标宋简体">
    <w:panose1 w:val="02000000000000000000"/>
    <w:charset w:val="86"/>
    <w:family w:val="script"/>
    <w:pitch w:val="default"/>
    <w:sig w:usb0="A00002BF" w:usb1="184F6CFA" w:usb2="00000012" w:usb3="00000000" w:csb0="00040001" w:csb1="00000000"/>
    <w:embedRegular r:id="rId2" w:fontKey="{31024297-0F21-416B-B541-B7ADDFE59C81}"/>
  </w:font>
  <w:font w:name="方正仿宋简体">
    <w:panose1 w:val="02000000000000000000"/>
    <w:charset w:val="86"/>
    <w:family w:val="auto"/>
    <w:pitch w:val="default"/>
    <w:sig w:usb0="A00002BF" w:usb1="184F6CFA" w:usb2="00000012" w:usb3="00000000" w:csb0="00040001" w:csb1="00000000"/>
    <w:embedRegular r:id="rId3" w:fontKey="{2BD7596F-1050-4666-BE91-29BE28DB8E45}"/>
  </w:font>
  <w:font w:name="方正黑体简体">
    <w:panose1 w:val="02000000000000000000"/>
    <w:charset w:val="86"/>
    <w:family w:val="auto"/>
    <w:pitch w:val="default"/>
    <w:sig w:usb0="A00002BF" w:usb1="184F6CFA" w:usb2="00000012" w:usb3="00000000" w:csb0="00040001" w:csb1="00000000"/>
    <w:embedRegular r:id="rId4" w:fontKey="{FC2AD4AA-7168-4116-A4AD-71C72973B5AA}"/>
  </w:font>
  <w:font w:name="仿宋_GB2312">
    <w:panose1 w:val="02010609030101010101"/>
    <w:charset w:val="86"/>
    <w:family w:val="auto"/>
    <w:pitch w:val="default"/>
    <w:sig w:usb0="00000001" w:usb1="080E0000" w:usb2="00000000" w:usb3="00000000" w:csb0="00040000" w:csb1="00000000"/>
    <w:embedRegular r:id="rId5" w:fontKey="{693127F3-FB66-4BBA-8707-D4554BF849B1}"/>
  </w:font>
  <w:font w:name="方正楷体简体">
    <w:panose1 w:val="02000000000000000000"/>
    <w:charset w:val="86"/>
    <w:family w:val="auto"/>
    <w:pitch w:val="default"/>
    <w:sig w:usb0="A00002BF" w:usb1="184F6CFA" w:usb2="00000012" w:usb3="00000000" w:csb0="00040001" w:csb1="00000000"/>
    <w:embedRegular r:id="rId6" w:fontKey="{919D8681-5F25-49FA-8C0B-8B9A97E173E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AD11F">
    <w:pPr>
      <w:pStyle w:val="7"/>
      <w:ind w:right="320" w:rightChars="100" w:firstLine="280" w:firstLineChars="100"/>
      <w:rPr>
        <w:rFonts w:asciiTheme="minorEastAsia" w:hAnsiTheme="minorEastAsia" w:eastAsiaTheme="minorEastAsia"/>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B5B698">
                          <w:pPr>
                            <w:pStyle w:val="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AB5B698">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49A56">
    <w:pPr>
      <w:pStyle w:val="7"/>
      <w:ind w:left="320" w:leftChars="100"/>
      <w:rPr>
        <w:rFonts w:asciiTheme="minorEastAsia" w:hAnsiTheme="minorEastAsia" w:eastAsiaTheme="minorEastAsia"/>
        <w:szCs w:val="2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029793">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9029793">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14A62">
    <w:pPr>
      <w:pStyle w:val="7"/>
      <w:ind w:right="320" w:rightChars="100" w:firstLine="280" w:firstLineChars="100"/>
      <w:rPr>
        <w:rFonts w:asciiTheme="minorEastAsia" w:hAnsiTheme="minorEastAsia" w:eastAsiaTheme="minorEastAsia"/>
        <w:szCs w:val="28"/>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C7583F">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EC7583F">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42FEE">
    <w:pPr>
      <w:pStyle w:val="7"/>
      <w:ind w:left="320" w:leftChars="100"/>
      <w:rPr>
        <w:rFonts w:asciiTheme="minorEastAsia" w:hAnsiTheme="minorEastAsia" w:eastAsiaTheme="minorEastAsia"/>
        <w:szCs w:val="28"/>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0503B7">
                          <w:pPr>
                            <w:pStyle w:val="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00503B7">
                    <w:pPr>
                      <w:pStyle w:val="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4716E">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1AF71">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E9A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561283"/>
    <w:multiLevelType w:val="multilevel"/>
    <w:tmpl w:val="64561283"/>
    <w:lvl w:ilvl="0" w:tentative="0">
      <w:start w:val="1"/>
      <w:numFmt w:val="japaneseCounting"/>
      <w:lvlText w:val="%1、"/>
      <w:lvlJc w:val="left"/>
      <w:pPr>
        <w:tabs>
          <w:tab w:val="left" w:pos="1440"/>
        </w:tabs>
        <w:ind w:left="1440" w:hanging="720"/>
      </w:pPr>
      <w:rPr>
        <w:rFonts w:hint="default"/>
      </w:rPr>
    </w:lvl>
    <w:lvl w:ilvl="1" w:tentative="0">
      <w:start w:val="1"/>
      <w:numFmt w:val="lowerLetter"/>
      <w:lvlText w:val="%2)"/>
      <w:lvlJc w:val="left"/>
      <w:pPr>
        <w:tabs>
          <w:tab w:val="left" w:pos="1560"/>
        </w:tabs>
        <w:ind w:left="1560" w:hanging="420"/>
      </w:pPr>
    </w:lvl>
    <w:lvl w:ilvl="2" w:tentative="0">
      <w:start w:val="1"/>
      <w:numFmt w:val="lowerRoman"/>
      <w:pStyle w:val="4"/>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evenAndOddHeaders w:val="1"/>
  <w:drawingGridHorizontalSpacing w:val="160"/>
  <w:drawingGridVerticalSpacing w:val="230"/>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jYzFjNTdlYzA1NTBhYWRiMGNkYTkzNTgwNDIzMDAifQ=="/>
  </w:docVars>
  <w:rsids>
    <w:rsidRoot w:val="00AB614F"/>
    <w:rsid w:val="00037B8A"/>
    <w:rsid w:val="00040FEC"/>
    <w:rsid w:val="00081B99"/>
    <w:rsid w:val="00085620"/>
    <w:rsid w:val="00096D4D"/>
    <w:rsid w:val="00097245"/>
    <w:rsid w:val="000D4211"/>
    <w:rsid w:val="000E18E7"/>
    <w:rsid w:val="000E23A1"/>
    <w:rsid w:val="000E573B"/>
    <w:rsid w:val="000F264F"/>
    <w:rsid w:val="000F4675"/>
    <w:rsid w:val="001102CA"/>
    <w:rsid w:val="00121D92"/>
    <w:rsid w:val="00151EA9"/>
    <w:rsid w:val="00156870"/>
    <w:rsid w:val="001654A5"/>
    <w:rsid w:val="00166D35"/>
    <w:rsid w:val="001755C4"/>
    <w:rsid w:val="001B7F38"/>
    <w:rsid w:val="001C30FA"/>
    <w:rsid w:val="001C4AF2"/>
    <w:rsid w:val="001D2D2F"/>
    <w:rsid w:val="001E053F"/>
    <w:rsid w:val="001E6D26"/>
    <w:rsid w:val="00200B79"/>
    <w:rsid w:val="0022785E"/>
    <w:rsid w:val="00236A58"/>
    <w:rsid w:val="0024254C"/>
    <w:rsid w:val="002434B4"/>
    <w:rsid w:val="00270DBA"/>
    <w:rsid w:val="002969DA"/>
    <w:rsid w:val="002A1A0E"/>
    <w:rsid w:val="002D72FA"/>
    <w:rsid w:val="002E6285"/>
    <w:rsid w:val="002F1112"/>
    <w:rsid w:val="00303082"/>
    <w:rsid w:val="00313A2E"/>
    <w:rsid w:val="00313F34"/>
    <w:rsid w:val="00316832"/>
    <w:rsid w:val="003343D4"/>
    <w:rsid w:val="00340097"/>
    <w:rsid w:val="00341B1D"/>
    <w:rsid w:val="00344FCB"/>
    <w:rsid w:val="00345924"/>
    <w:rsid w:val="003633A4"/>
    <w:rsid w:val="00374D8D"/>
    <w:rsid w:val="003813A1"/>
    <w:rsid w:val="00383A66"/>
    <w:rsid w:val="003D11B1"/>
    <w:rsid w:val="00401D0D"/>
    <w:rsid w:val="00410261"/>
    <w:rsid w:val="00422B10"/>
    <w:rsid w:val="0043490D"/>
    <w:rsid w:val="0044467E"/>
    <w:rsid w:val="00447D58"/>
    <w:rsid w:val="00455C64"/>
    <w:rsid w:val="00456A5D"/>
    <w:rsid w:val="0045785E"/>
    <w:rsid w:val="00463304"/>
    <w:rsid w:val="00482730"/>
    <w:rsid w:val="00483474"/>
    <w:rsid w:val="004D5526"/>
    <w:rsid w:val="005068B2"/>
    <w:rsid w:val="00510D67"/>
    <w:rsid w:val="005135E1"/>
    <w:rsid w:val="00542701"/>
    <w:rsid w:val="00562D4E"/>
    <w:rsid w:val="00597884"/>
    <w:rsid w:val="005A12B9"/>
    <w:rsid w:val="005A6FD4"/>
    <w:rsid w:val="005B1CAB"/>
    <w:rsid w:val="005E54C0"/>
    <w:rsid w:val="005E6834"/>
    <w:rsid w:val="005F5F41"/>
    <w:rsid w:val="00601D8E"/>
    <w:rsid w:val="0060701B"/>
    <w:rsid w:val="0061718B"/>
    <w:rsid w:val="00623513"/>
    <w:rsid w:val="0064285F"/>
    <w:rsid w:val="00660F61"/>
    <w:rsid w:val="00673363"/>
    <w:rsid w:val="00673A28"/>
    <w:rsid w:val="00681ECA"/>
    <w:rsid w:val="00683A54"/>
    <w:rsid w:val="006918BA"/>
    <w:rsid w:val="00697A57"/>
    <w:rsid w:val="006A3BD1"/>
    <w:rsid w:val="006B516D"/>
    <w:rsid w:val="006C1BB7"/>
    <w:rsid w:val="006D105B"/>
    <w:rsid w:val="006D30CA"/>
    <w:rsid w:val="006D48A8"/>
    <w:rsid w:val="006E5DC1"/>
    <w:rsid w:val="0070490F"/>
    <w:rsid w:val="00711E75"/>
    <w:rsid w:val="00734229"/>
    <w:rsid w:val="00751B82"/>
    <w:rsid w:val="00764B7E"/>
    <w:rsid w:val="00775A43"/>
    <w:rsid w:val="007A0F1F"/>
    <w:rsid w:val="007A4CE8"/>
    <w:rsid w:val="007A6ED0"/>
    <w:rsid w:val="007E22FE"/>
    <w:rsid w:val="007E72BB"/>
    <w:rsid w:val="007F2BBF"/>
    <w:rsid w:val="008012F7"/>
    <w:rsid w:val="00807399"/>
    <w:rsid w:val="0080786D"/>
    <w:rsid w:val="008108F1"/>
    <w:rsid w:val="008157A6"/>
    <w:rsid w:val="008257C1"/>
    <w:rsid w:val="00830F29"/>
    <w:rsid w:val="00845B81"/>
    <w:rsid w:val="008500FD"/>
    <w:rsid w:val="00894EBD"/>
    <w:rsid w:val="008A31C2"/>
    <w:rsid w:val="008B1D13"/>
    <w:rsid w:val="00904B27"/>
    <w:rsid w:val="00911C51"/>
    <w:rsid w:val="00914CFF"/>
    <w:rsid w:val="00926C15"/>
    <w:rsid w:val="00967B27"/>
    <w:rsid w:val="009806AC"/>
    <w:rsid w:val="009848BF"/>
    <w:rsid w:val="009918F9"/>
    <w:rsid w:val="009A450A"/>
    <w:rsid w:val="009B6184"/>
    <w:rsid w:val="009C1299"/>
    <w:rsid w:val="009C3E4A"/>
    <w:rsid w:val="009C6F2E"/>
    <w:rsid w:val="009D46CA"/>
    <w:rsid w:val="009F3383"/>
    <w:rsid w:val="00A03024"/>
    <w:rsid w:val="00A16422"/>
    <w:rsid w:val="00A26DA4"/>
    <w:rsid w:val="00A318FF"/>
    <w:rsid w:val="00A50BC4"/>
    <w:rsid w:val="00A547F4"/>
    <w:rsid w:val="00A61DD7"/>
    <w:rsid w:val="00A760DE"/>
    <w:rsid w:val="00A81BCE"/>
    <w:rsid w:val="00A954C5"/>
    <w:rsid w:val="00AB02AF"/>
    <w:rsid w:val="00AB3302"/>
    <w:rsid w:val="00AB5E30"/>
    <w:rsid w:val="00AB614F"/>
    <w:rsid w:val="00AC3002"/>
    <w:rsid w:val="00AC570B"/>
    <w:rsid w:val="00AC7B96"/>
    <w:rsid w:val="00AD3085"/>
    <w:rsid w:val="00AD6E4E"/>
    <w:rsid w:val="00AE640E"/>
    <w:rsid w:val="00AF4BB9"/>
    <w:rsid w:val="00AF7BCB"/>
    <w:rsid w:val="00AF7EA0"/>
    <w:rsid w:val="00B159C8"/>
    <w:rsid w:val="00B16583"/>
    <w:rsid w:val="00B20F38"/>
    <w:rsid w:val="00B24735"/>
    <w:rsid w:val="00B2672F"/>
    <w:rsid w:val="00B276C8"/>
    <w:rsid w:val="00B406B0"/>
    <w:rsid w:val="00B41EB7"/>
    <w:rsid w:val="00B42243"/>
    <w:rsid w:val="00B476CD"/>
    <w:rsid w:val="00B5405C"/>
    <w:rsid w:val="00B6443A"/>
    <w:rsid w:val="00B65CB6"/>
    <w:rsid w:val="00B734CD"/>
    <w:rsid w:val="00B74D1A"/>
    <w:rsid w:val="00B777CD"/>
    <w:rsid w:val="00BA78D9"/>
    <w:rsid w:val="00BB4098"/>
    <w:rsid w:val="00BB7752"/>
    <w:rsid w:val="00BC040E"/>
    <w:rsid w:val="00BC29D8"/>
    <w:rsid w:val="00BD46FC"/>
    <w:rsid w:val="00BD630A"/>
    <w:rsid w:val="00BE637B"/>
    <w:rsid w:val="00BE6AF4"/>
    <w:rsid w:val="00BE7F4E"/>
    <w:rsid w:val="00BF684D"/>
    <w:rsid w:val="00BF7AAB"/>
    <w:rsid w:val="00C0680C"/>
    <w:rsid w:val="00C215B3"/>
    <w:rsid w:val="00C275EE"/>
    <w:rsid w:val="00C41049"/>
    <w:rsid w:val="00C45C5A"/>
    <w:rsid w:val="00C66092"/>
    <w:rsid w:val="00C74736"/>
    <w:rsid w:val="00C8551A"/>
    <w:rsid w:val="00CB0D83"/>
    <w:rsid w:val="00CC46E2"/>
    <w:rsid w:val="00CC4C98"/>
    <w:rsid w:val="00CE2DDC"/>
    <w:rsid w:val="00CE37B5"/>
    <w:rsid w:val="00CE5D94"/>
    <w:rsid w:val="00CF7F7C"/>
    <w:rsid w:val="00D041E2"/>
    <w:rsid w:val="00D07A39"/>
    <w:rsid w:val="00D334F1"/>
    <w:rsid w:val="00D372B1"/>
    <w:rsid w:val="00D41CDE"/>
    <w:rsid w:val="00D55131"/>
    <w:rsid w:val="00D65B94"/>
    <w:rsid w:val="00D71A4B"/>
    <w:rsid w:val="00D81E6B"/>
    <w:rsid w:val="00DA286F"/>
    <w:rsid w:val="00DB0A00"/>
    <w:rsid w:val="00DC32D8"/>
    <w:rsid w:val="00DC34CD"/>
    <w:rsid w:val="00DD6D25"/>
    <w:rsid w:val="00DF01CC"/>
    <w:rsid w:val="00E13294"/>
    <w:rsid w:val="00E14A7D"/>
    <w:rsid w:val="00E15D30"/>
    <w:rsid w:val="00E400CD"/>
    <w:rsid w:val="00E42BAB"/>
    <w:rsid w:val="00E74789"/>
    <w:rsid w:val="00E75FCC"/>
    <w:rsid w:val="00EA7FA7"/>
    <w:rsid w:val="00EB3008"/>
    <w:rsid w:val="00EB679B"/>
    <w:rsid w:val="00EC2645"/>
    <w:rsid w:val="00ED2589"/>
    <w:rsid w:val="00F02567"/>
    <w:rsid w:val="00F12577"/>
    <w:rsid w:val="00F22AF2"/>
    <w:rsid w:val="00F86BDD"/>
    <w:rsid w:val="00FD075E"/>
    <w:rsid w:val="00FF1FD8"/>
    <w:rsid w:val="03413B47"/>
    <w:rsid w:val="05AA2098"/>
    <w:rsid w:val="09336848"/>
    <w:rsid w:val="0CD143AE"/>
    <w:rsid w:val="0D647280"/>
    <w:rsid w:val="0DED6D78"/>
    <w:rsid w:val="12E659AB"/>
    <w:rsid w:val="16C55A6F"/>
    <w:rsid w:val="1D631EFF"/>
    <w:rsid w:val="1E334C96"/>
    <w:rsid w:val="1F5A46D7"/>
    <w:rsid w:val="1FB8220A"/>
    <w:rsid w:val="24E077C8"/>
    <w:rsid w:val="2A36189D"/>
    <w:rsid w:val="2C6D712A"/>
    <w:rsid w:val="369A118D"/>
    <w:rsid w:val="37383073"/>
    <w:rsid w:val="3DFB49C1"/>
    <w:rsid w:val="43C7383A"/>
    <w:rsid w:val="494B20E4"/>
    <w:rsid w:val="4B7816E9"/>
    <w:rsid w:val="4C001DCC"/>
    <w:rsid w:val="4DC15B92"/>
    <w:rsid w:val="4EDC0D6D"/>
    <w:rsid w:val="4F225CD9"/>
    <w:rsid w:val="56701F12"/>
    <w:rsid w:val="5E2C40B7"/>
    <w:rsid w:val="627D3A75"/>
    <w:rsid w:val="681F3EDA"/>
    <w:rsid w:val="6CA02985"/>
    <w:rsid w:val="778B3C6E"/>
    <w:rsid w:val="79017595"/>
    <w:rsid w:val="79051AF6"/>
    <w:rsid w:val="7FDA77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jc w:val="both"/>
    </w:pPr>
    <w:rPr>
      <w:rFonts w:ascii="Times New Roman" w:hAnsi="Times New Roman" w:eastAsia="宋体" w:cs="Times New Roman"/>
      <w:kern w:val="2"/>
      <w:sz w:val="32"/>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paragraph" w:styleId="4">
    <w:name w:val="heading 3"/>
    <w:next w:val="1"/>
    <w:qFormat/>
    <w:uiPriority w:val="9"/>
    <w:pPr>
      <w:numPr>
        <w:ilvl w:val="2"/>
        <w:numId w:val="1"/>
      </w:numPr>
      <w:spacing w:after="240"/>
      <w:jc w:val="both"/>
      <w:outlineLvl w:val="2"/>
    </w:pPr>
    <w:rPr>
      <w:rFonts w:ascii="Arial" w:hAnsi="Arial" w:eastAsia="宋体" w:cs="Angsana New"/>
      <w:lang w:val="en-GB" w:eastAsia="zh-CN" w:bidi="th-TH"/>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kern w:val="0"/>
      <w:sz w:val="20"/>
    </w:rPr>
  </w:style>
  <w:style w:type="paragraph" w:styleId="5">
    <w:name w:val="Plain Text"/>
    <w:basedOn w:val="1"/>
    <w:qFormat/>
    <w:uiPriority w:val="0"/>
    <w:rPr>
      <w:rFonts w:ascii="宋体" w:hAnsi="Courier New" w:eastAsia="仿宋"/>
      <w:kern w:val="0"/>
      <w:szCs w:val="21"/>
    </w:rPr>
  </w:style>
  <w:style w:type="paragraph" w:styleId="6">
    <w:name w:val="Balloon Text"/>
    <w:basedOn w:val="1"/>
    <w:link w:val="15"/>
    <w:semiHidden/>
    <w:unhideWhenUsed/>
    <w:qFormat/>
    <w:uiPriority w:val="0"/>
    <w:pPr>
      <w:spacing w:line="240" w:lineRule="auto"/>
    </w:pPr>
    <w:rPr>
      <w:sz w:val="18"/>
      <w:szCs w:val="18"/>
    </w:rPr>
  </w:style>
  <w:style w:type="paragraph" w:styleId="7">
    <w:name w:val="footer"/>
    <w:basedOn w:val="1"/>
    <w:qFormat/>
    <w:uiPriority w:val="99"/>
    <w:pPr>
      <w:tabs>
        <w:tab w:val="center" w:pos="4153"/>
        <w:tab w:val="right" w:pos="8306"/>
      </w:tabs>
      <w:snapToGrid w:val="0"/>
      <w:jc w:val="left"/>
    </w:pPr>
    <w:rPr>
      <w:sz w:val="28"/>
      <w:szCs w:val="18"/>
    </w:rPr>
  </w:style>
  <w:style w:type="paragraph" w:styleId="8">
    <w:name w:val="header"/>
    <w:basedOn w:val="1"/>
    <w:next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Body Text 2"/>
    <w:basedOn w:val="1"/>
    <w:link w:val="16"/>
    <w:qFormat/>
    <w:uiPriority w:val="0"/>
    <w:pPr>
      <w:spacing w:after="120" w:line="480" w:lineRule="auto"/>
    </w:pPr>
    <w:rPr>
      <w:sz w:val="21"/>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缩进2字符"/>
    <w:qFormat/>
    <w:uiPriority w:val="0"/>
    <w:pPr>
      <w:widowControl w:val="0"/>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styleId="14">
    <w:name w:val="List Paragraph"/>
    <w:basedOn w:val="1"/>
    <w:unhideWhenUsed/>
    <w:qFormat/>
    <w:uiPriority w:val="99"/>
    <w:pPr>
      <w:ind w:firstLine="420" w:firstLineChars="200"/>
    </w:pPr>
  </w:style>
  <w:style w:type="character" w:customStyle="1" w:styleId="15">
    <w:name w:val="批注框文本 Char"/>
    <w:basedOn w:val="12"/>
    <w:link w:val="6"/>
    <w:semiHidden/>
    <w:qFormat/>
    <w:uiPriority w:val="0"/>
    <w:rPr>
      <w:kern w:val="2"/>
      <w:sz w:val="18"/>
      <w:szCs w:val="18"/>
    </w:rPr>
  </w:style>
  <w:style w:type="character" w:customStyle="1" w:styleId="16">
    <w:name w:val="正文文本 2 Char"/>
    <w:basedOn w:val="12"/>
    <w:link w:val="9"/>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2404</Words>
  <Characters>2513</Characters>
  <Lines>17</Lines>
  <Paragraphs>5</Paragraphs>
  <TotalTime>7</TotalTime>
  <ScaleCrop>false</ScaleCrop>
  <LinksUpToDate>false</LinksUpToDate>
  <CharactersWithSpaces>2551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2022-12-21T05:39:00Z</dcterms:created>
  <dc:creator>HP</dc:creator>
  <cp:lastModifiedBy>尘埃落定</cp:lastModifiedBy>
  <cp:lastPrinted>2024-11-11T07:53:00Z</cp:lastPrinted>
  <dcterms:modified xsi:type="dcterms:W3CDTF">2025-07-07T11:31:47Z</dcterms:modified>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761038AA6C33452D81E0CA01F073E136</vt:lpwstr>
  </property>
  <property fmtid="{D5CDD505-2E9C-101B-9397-08002B2CF9AE}" pid="4" name="KSOTemplateDocerSaveRecord">
    <vt:lpwstr>eyJoZGlkIjoiNTU0ZGU4ODE1YTk4ZjA2NTY2YmM4NTljOTI0ZWI0MzUiLCJ1c2VySWQiOiIzMDgwNDIwODgifQ==</vt:lpwstr>
  </property>
</Properties>
</file>